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BA58C" w14:textId="77777777" w:rsidR="008B06D8" w:rsidRDefault="00DF70F0" w:rsidP="00860E0A">
      <w:pPr>
        <w:jc w:val="center"/>
        <w:rPr>
          <w:rFonts w:ascii="Times" w:hAnsi="Times"/>
        </w:rPr>
      </w:pPr>
      <w:r w:rsidRPr="00511229">
        <w:rPr>
          <w:rFonts w:ascii="Times" w:hAnsi="Times"/>
        </w:rPr>
        <w:t xml:space="preserve">The Effects of Ocean Acidification on Multiple Life History Stages of the Pacific Oyster, </w:t>
      </w:r>
      <w:r w:rsidRPr="00511229">
        <w:rPr>
          <w:rFonts w:ascii="Times" w:hAnsi="Times"/>
          <w:i/>
        </w:rPr>
        <w:t>Crassostrea gigas</w:t>
      </w:r>
      <w:r w:rsidRPr="00511229">
        <w:rPr>
          <w:rFonts w:ascii="Times" w:hAnsi="Times"/>
        </w:rPr>
        <w:t>: Implications for Physiological Trade-offs</w:t>
      </w:r>
    </w:p>
    <w:p w14:paraId="0B955589" w14:textId="77777777" w:rsidR="009179C5" w:rsidRPr="00511229" w:rsidRDefault="009179C5" w:rsidP="00860E0A">
      <w:pPr>
        <w:jc w:val="center"/>
        <w:rPr>
          <w:rFonts w:ascii="Times" w:hAnsi="Times"/>
        </w:rPr>
      </w:pPr>
    </w:p>
    <w:p w14:paraId="32CAC1E1" w14:textId="77777777" w:rsidR="00DF70F0" w:rsidRPr="00511229" w:rsidRDefault="00DF70F0" w:rsidP="00860E0A">
      <w:pPr>
        <w:jc w:val="center"/>
        <w:rPr>
          <w:rFonts w:ascii="Times" w:hAnsi="Times"/>
        </w:rPr>
      </w:pPr>
    </w:p>
    <w:p w14:paraId="277C9C4C" w14:textId="77777777" w:rsidR="00DF70F0" w:rsidRDefault="00DF70F0" w:rsidP="00860E0A">
      <w:pPr>
        <w:jc w:val="center"/>
        <w:rPr>
          <w:rFonts w:ascii="Times" w:hAnsi="Times"/>
        </w:rPr>
      </w:pPr>
      <w:r w:rsidRPr="00511229">
        <w:rPr>
          <w:rFonts w:ascii="Times" w:hAnsi="Times"/>
        </w:rPr>
        <w:t>Emma</w:t>
      </w:r>
      <w:r w:rsidR="00860E0A" w:rsidRPr="00511229">
        <w:rPr>
          <w:rFonts w:ascii="Times" w:hAnsi="Times"/>
        </w:rPr>
        <w:t xml:space="preserve"> B.</w:t>
      </w:r>
      <w:r w:rsidRPr="00511229">
        <w:rPr>
          <w:rFonts w:ascii="Times" w:hAnsi="Times"/>
        </w:rPr>
        <w:t xml:space="preserve"> Timmins-Schiffman</w:t>
      </w:r>
    </w:p>
    <w:p w14:paraId="7AFF1BCB" w14:textId="77777777" w:rsidR="009179C5" w:rsidRDefault="009179C5" w:rsidP="00860E0A">
      <w:pPr>
        <w:jc w:val="center"/>
        <w:rPr>
          <w:rFonts w:ascii="Times" w:hAnsi="Times"/>
        </w:rPr>
      </w:pPr>
    </w:p>
    <w:p w14:paraId="27DA2F56" w14:textId="77777777" w:rsidR="009179C5" w:rsidRPr="00511229" w:rsidRDefault="009179C5" w:rsidP="00860E0A">
      <w:pPr>
        <w:jc w:val="center"/>
        <w:rPr>
          <w:rFonts w:ascii="Times" w:hAnsi="Times"/>
        </w:rPr>
      </w:pPr>
    </w:p>
    <w:p w14:paraId="7284D4FD" w14:textId="77777777" w:rsidR="00DF70F0" w:rsidRPr="00511229" w:rsidRDefault="00DF70F0" w:rsidP="00860E0A">
      <w:pPr>
        <w:jc w:val="center"/>
        <w:rPr>
          <w:rFonts w:ascii="Times" w:hAnsi="Times"/>
        </w:rPr>
      </w:pPr>
    </w:p>
    <w:p w14:paraId="6CEBF5C1" w14:textId="77777777" w:rsidR="00DF70F0" w:rsidRPr="00511229" w:rsidRDefault="00DF70F0" w:rsidP="00860E0A">
      <w:pPr>
        <w:jc w:val="center"/>
        <w:rPr>
          <w:rFonts w:ascii="Times" w:hAnsi="Times"/>
        </w:rPr>
      </w:pPr>
      <w:r w:rsidRPr="00511229">
        <w:rPr>
          <w:rFonts w:ascii="Times" w:hAnsi="Times"/>
        </w:rPr>
        <w:t>A dissertation</w:t>
      </w:r>
    </w:p>
    <w:p w14:paraId="333FD318" w14:textId="77777777" w:rsidR="00DF70F0" w:rsidRPr="00511229" w:rsidRDefault="00DF70F0" w:rsidP="00860E0A">
      <w:pPr>
        <w:jc w:val="center"/>
        <w:rPr>
          <w:rFonts w:ascii="Times" w:hAnsi="Times"/>
        </w:rPr>
      </w:pPr>
      <w:r w:rsidRPr="00511229">
        <w:rPr>
          <w:rFonts w:ascii="Times" w:hAnsi="Times"/>
        </w:rPr>
        <w:t>Submitted in partial fulfillment of the</w:t>
      </w:r>
    </w:p>
    <w:p w14:paraId="3291FB70" w14:textId="77777777" w:rsidR="00DF70F0" w:rsidRPr="00511229" w:rsidRDefault="00DF70F0" w:rsidP="00860E0A">
      <w:pPr>
        <w:jc w:val="center"/>
        <w:rPr>
          <w:rFonts w:ascii="Times" w:hAnsi="Times"/>
        </w:rPr>
      </w:pPr>
      <w:r w:rsidRPr="00511229">
        <w:rPr>
          <w:rFonts w:ascii="Times" w:hAnsi="Times"/>
        </w:rPr>
        <w:t>Requirements for the degree of</w:t>
      </w:r>
    </w:p>
    <w:p w14:paraId="2567C89D" w14:textId="77777777" w:rsidR="00DF70F0" w:rsidRPr="00511229" w:rsidRDefault="00DF70F0" w:rsidP="00860E0A">
      <w:pPr>
        <w:jc w:val="center"/>
        <w:rPr>
          <w:rFonts w:ascii="Times" w:hAnsi="Times"/>
        </w:rPr>
      </w:pPr>
    </w:p>
    <w:p w14:paraId="1987E91B" w14:textId="77777777" w:rsidR="00DF70F0" w:rsidRPr="00511229" w:rsidRDefault="00DF70F0" w:rsidP="00860E0A">
      <w:pPr>
        <w:jc w:val="center"/>
        <w:rPr>
          <w:rFonts w:ascii="Times" w:hAnsi="Times"/>
        </w:rPr>
      </w:pPr>
    </w:p>
    <w:p w14:paraId="0E0681E2" w14:textId="77777777" w:rsidR="00DF70F0" w:rsidRPr="00511229" w:rsidRDefault="00DF70F0" w:rsidP="00860E0A">
      <w:pPr>
        <w:jc w:val="center"/>
        <w:rPr>
          <w:rFonts w:ascii="Times" w:hAnsi="Times"/>
        </w:rPr>
      </w:pPr>
      <w:r w:rsidRPr="00511229">
        <w:rPr>
          <w:rFonts w:ascii="Times" w:hAnsi="Times"/>
        </w:rPr>
        <w:t>Doctor of Philosophy</w:t>
      </w:r>
    </w:p>
    <w:p w14:paraId="2AB1831C" w14:textId="77777777" w:rsidR="00DF70F0" w:rsidRPr="00511229" w:rsidRDefault="00DF70F0" w:rsidP="00860E0A">
      <w:pPr>
        <w:jc w:val="center"/>
        <w:rPr>
          <w:rFonts w:ascii="Times" w:hAnsi="Times"/>
        </w:rPr>
      </w:pPr>
    </w:p>
    <w:p w14:paraId="76FF9200" w14:textId="77777777" w:rsidR="00DF70F0" w:rsidRPr="00511229" w:rsidRDefault="00DF70F0" w:rsidP="00860E0A">
      <w:pPr>
        <w:jc w:val="center"/>
        <w:rPr>
          <w:rFonts w:ascii="Times" w:hAnsi="Times"/>
        </w:rPr>
      </w:pPr>
    </w:p>
    <w:p w14:paraId="4590F91E" w14:textId="77777777" w:rsidR="00DF70F0" w:rsidRPr="00511229" w:rsidRDefault="00DF70F0" w:rsidP="00860E0A">
      <w:pPr>
        <w:jc w:val="center"/>
        <w:rPr>
          <w:rFonts w:ascii="Times" w:hAnsi="Times"/>
        </w:rPr>
      </w:pPr>
    </w:p>
    <w:p w14:paraId="65B1DC1F" w14:textId="77777777" w:rsidR="00DF70F0" w:rsidRPr="00511229" w:rsidRDefault="00DF70F0" w:rsidP="00860E0A">
      <w:pPr>
        <w:jc w:val="center"/>
        <w:rPr>
          <w:rFonts w:ascii="Times" w:hAnsi="Times"/>
        </w:rPr>
      </w:pPr>
      <w:r w:rsidRPr="00511229">
        <w:rPr>
          <w:rFonts w:ascii="Times" w:hAnsi="Times"/>
        </w:rPr>
        <w:t>University of Washington</w:t>
      </w:r>
    </w:p>
    <w:p w14:paraId="4E82A644" w14:textId="77777777" w:rsidR="00DF70F0" w:rsidRPr="00511229" w:rsidRDefault="00DF70F0" w:rsidP="00860E0A">
      <w:pPr>
        <w:jc w:val="center"/>
        <w:rPr>
          <w:rFonts w:ascii="Times" w:hAnsi="Times"/>
        </w:rPr>
      </w:pPr>
      <w:r w:rsidRPr="00511229">
        <w:rPr>
          <w:rFonts w:ascii="Times" w:hAnsi="Times"/>
        </w:rPr>
        <w:t>2014</w:t>
      </w:r>
    </w:p>
    <w:p w14:paraId="05316D9A" w14:textId="77777777" w:rsidR="00DF70F0" w:rsidRPr="00511229" w:rsidRDefault="00DF70F0" w:rsidP="00860E0A">
      <w:pPr>
        <w:jc w:val="center"/>
        <w:rPr>
          <w:rFonts w:ascii="Times" w:hAnsi="Times"/>
        </w:rPr>
      </w:pPr>
    </w:p>
    <w:p w14:paraId="544659D4" w14:textId="77777777" w:rsidR="00DF70F0" w:rsidRDefault="00DF70F0" w:rsidP="00860E0A">
      <w:pPr>
        <w:jc w:val="center"/>
        <w:rPr>
          <w:rFonts w:ascii="Times" w:hAnsi="Times"/>
        </w:rPr>
      </w:pPr>
    </w:p>
    <w:p w14:paraId="7856C1FE" w14:textId="1692AB12" w:rsidR="009179C5" w:rsidRDefault="009179C5" w:rsidP="00860E0A">
      <w:pPr>
        <w:jc w:val="center"/>
        <w:rPr>
          <w:rFonts w:ascii="Times" w:hAnsi="Times"/>
        </w:rPr>
      </w:pPr>
      <w:r>
        <w:rPr>
          <w:rFonts w:ascii="Times" w:hAnsi="Times"/>
        </w:rPr>
        <w:t>Reading Committee:</w:t>
      </w:r>
    </w:p>
    <w:p w14:paraId="335D1F9D" w14:textId="507B4D40" w:rsidR="009179C5" w:rsidRDefault="009179C5" w:rsidP="00860E0A">
      <w:pPr>
        <w:jc w:val="center"/>
        <w:rPr>
          <w:rFonts w:ascii="Times" w:hAnsi="Times"/>
        </w:rPr>
      </w:pPr>
      <w:r>
        <w:rPr>
          <w:rFonts w:ascii="Times" w:hAnsi="Times"/>
        </w:rPr>
        <w:t>Steven B. Roberts, Chair</w:t>
      </w:r>
    </w:p>
    <w:p w14:paraId="13B98DA2" w14:textId="764BFBFE" w:rsidR="009179C5" w:rsidRDefault="009179C5" w:rsidP="00860E0A">
      <w:pPr>
        <w:jc w:val="center"/>
        <w:rPr>
          <w:rFonts w:ascii="Times" w:hAnsi="Times"/>
        </w:rPr>
      </w:pPr>
      <w:r>
        <w:rPr>
          <w:rFonts w:ascii="Times" w:hAnsi="Times"/>
        </w:rPr>
        <w:t>Carolyn S. Friedman</w:t>
      </w:r>
    </w:p>
    <w:p w14:paraId="254F8271" w14:textId="5C0F4266" w:rsidR="009179C5" w:rsidRPr="00511229" w:rsidRDefault="009179C5" w:rsidP="00860E0A">
      <w:pPr>
        <w:jc w:val="center"/>
        <w:rPr>
          <w:rFonts w:ascii="Times" w:hAnsi="Times"/>
        </w:rPr>
      </w:pPr>
      <w:r>
        <w:rPr>
          <w:rFonts w:ascii="Times" w:hAnsi="Times"/>
        </w:rPr>
        <w:t>Jonathan P. Davis</w:t>
      </w:r>
    </w:p>
    <w:p w14:paraId="29F0EC4A" w14:textId="77777777" w:rsidR="00DF70F0" w:rsidRPr="00511229" w:rsidRDefault="00DF70F0" w:rsidP="00860E0A">
      <w:pPr>
        <w:jc w:val="center"/>
        <w:rPr>
          <w:rFonts w:ascii="Times" w:hAnsi="Times"/>
        </w:rPr>
      </w:pPr>
    </w:p>
    <w:p w14:paraId="1AA5974C" w14:textId="77777777" w:rsidR="00DF70F0" w:rsidRDefault="00DF70F0" w:rsidP="00860E0A">
      <w:pPr>
        <w:jc w:val="center"/>
        <w:rPr>
          <w:rFonts w:ascii="Times" w:hAnsi="Times"/>
        </w:rPr>
      </w:pPr>
    </w:p>
    <w:p w14:paraId="50731819" w14:textId="77777777" w:rsidR="009179C5" w:rsidRDefault="009179C5" w:rsidP="00860E0A">
      <w:pPr>
        <w:jc w:val="center"/>
        <w:rPr>
          <w:rFonts w:ascii="Times" w:hAnsi="Times"/>
        </w:rPr>
      </w:pPr>
    </w:p>
    <w:p w14:paraId="6A705723" w14:textId="77777777" w:rsidR="009179C5" w:rsidRDefault="009179C5" w:rsidP="00860E0A">
      <w:pPr>
        <w:jc w:val="center"/>
        <w:rPr>
          <w:rFonts w:ascii="Times" w:hAnsi="Times"/>
        </w:rPr>
      </w:pPr>
    </w:p>
    <w:p w14:paraId="72CBD4AB" w14:textId="77777777" w:rsidR="009179C5" w:rsidRDefault="009179C5" w:rsidP="00860E0A">
      <w:pPr>
        <w:jc w:val="center"/>
        <w:rPr>
          <w:rFonts w:ascii="Times" w:hAnsi="Times"/>
        </w:rPr>
      </w:pPr>
    </w:p>
    <w:p w14:paraId="10AAA719" w14:textId="77777777" w:rsidR="009179C5" w:rsidRDefault="009179C5" w:rsidP="00860E0A">
      <w:pPr>
        <w:jc w:val="center"/>
        <w:rPr>
          <w:rFonts w:ascii="Times" w:hAnsi="Times"/>
        </w:rPr>
      </w:pPr>
    </w:p>
    <w:p w14:paraId="7DD93109" w14:textId="77777777" w:rsidR="009179C5" w:rsidRDefault="009179C5" w:rsidP="00860E0A">
      <w:pPr>
        <w:jc w:val="center"/>
        <w:rPr>
          <w:rFonts w:ascii="Times" w:hAnsi="Times"/>
        </w:rPr>
      </w:pPr>
    </w:p>
    <w:p w14:paraId="103B2700" w14:textId="77777777" w:rsidR="009179C5" w:rsidRDefault="009179C5" w:rsidP="00860E0A">
      <w:pPr>
        <w:jc w:val="center"/>
        <w:rPr>
          <w:rFonts w:ascii="Times" w:hAnsi="Times"/>
        </w:rPr>
      </w:pPr>
    </w:p>
    <w:p w14:paraId="4853E0E0" w14:textId="77777777" w:rsidR="009179C5" w:rsidRDefault="009179C5" w:rsidP="00860E0A">
      <w:pPr>
        <w:jc w:val="center"/>
        <w:rPr>
          <w:rFonts w:ascii="Times" w:hAnsi="Times"/>
        </w:rPr>
      </w:pPr>
    </w:p>
    <w:p w14:paraId="54E6BBDA" w14:textId="77777777" w:rsidR="009179C5" w:rsidRDefault="009179C5" w:rsidP="00860E0A">
      <w:pPr>
        <w:jc w:val="center"/>
        <w:rPr>
          <w:rFonts w:ascii="Times" w:hAnsi="Times"/>
        </w:rPr>
      </w:pPr>
    </w:p>
    <w:p w14:paraId="32C1892A" w14:textId="77777777" w:rsidR="009179C5" w:rsidRDefault="009179C5" w:rsidP="00860E0A">
      <w:pPr>
        <w:jc w:val="center"/>
        <w:rPr>
          <w:rFonts w:ascii="Times" w:hAnsi="Times"/>
        </w:rPr>
      </w:pPr>
    </w:p>
    <w:p w14:paraId="45B7EA79" w14:textId="77777777" w:rsidR="009179C5" w:rsidRDefault="009179C5" w:rsidP="00860E0A">
      <w:pPr>
        <w:jc w:val="center"/>
        <w:rPr>
          <w:rFonts w:ascii="Times" w:hAnsi="Times"/>
        </w:rPr>
      </w:pPr>
    </w:p>
    <w:p w14:paraId="3BAAF21C" w14:textId="77777777" w:rsidR="009179C5" w:rsidRDefault="009179C5" w:rsidP="00860E0A">
      <w:pPr>
        <w:jc w:val="center"/>
        <w:rPr>
          <w:rFonts w:ascii="Times" w:hAnsi="Times"/>
        </w:rPr>
      </w:pPr>
    </w:p>
    <w:p w14:paraId="2816E0F5" w14:textId="77777777" w:rsidR="009179C5" w:rsidRDefault="009179C5" w:rsidP="00860E0A">
      <w:pPr>
        <w:jc w:val="center"/>
        <w:rPr>
          <w:rFonts w:ascii="Times" w:hAnsi="Times"/>
        </w:rPr>
      </w:pPr>
    </w:p>
    <w:p w14:paraId="10C0E71B" w14:textId="77777777" w:rsidR="009179C5" w:rsidRDefault="009179C5" w:rsidP="00860E0A">
      <w:pPr>
        <w:jc w:val="center"/>
        <w:rPr>
          <w:rFonts w:ascii="Times" w:hAnsi="Times"/>
        </w:rPr>
      </w:pPr>
    </w:p>
    <w:p w14:paraId="536EB0F4" w14:textId="77777777" w:rsidR="009179C5" w:rsidRDefault="009179C5" w:rsidP="00860E0A">
      <w:pPr>
        <w:jc w:val="center"/>
        <w:rPr>
          <w:rFonts w:ascii="Times" w:hAnsi="Times"/>
        </w:rPr>
      </w:pPr>
    </w:p>
    <w:p w14:paraId="588758AE" w14:textId="77777777" w:rsidR="009179C5" w:rsidRDefault="009179C5" w:rsidP="00860E0A">
      <w:pPr>
        <w:jc w:val="center"/>
        <w:rPr>
          <w:rFonts w:ascii="Times" w:hAnsi="Times"/>
        </w:rPr>
      </w:pPr>
    </w:p>
    <w:p w14:paraId="5B61F575" w14:textId="77777777" w:rsidR="009179C5" w:rsidRDefault="009179C5" w:rsidP="00860E0A">
      <w:pPr>
        <w:jc w:val="center"/>
        <w:rPr>
          <w:rFonts w:ascii="Times" w:hAnsi="Times"/>
        </w:rPr>
      </w:pPr>
    </w:p>
    <w:p w14:paraId="58127912" w14:textId="77777777" w:rsidR="009179C5" w:rsidRPr="00511229" w:rsidRDefault="009179C5" w:rsidP="00860E0A">
      <w:pPr>
        <w:jc w:val="center"/>
        <w:rPr>
          <w:rFonts w:ascii="Times" w:hAnsi="Times"/>
        </w:rPr>
      </w:pPr>
    </w:p>
    <w:p w14:paraId="5DA9EBDD" w14:textId="77777777" w:rsidR="00DF70F0" w:rsidRPr="00511229" w:rsidRDefault="00DF70F0" w:rsidP="00860E0A">
      <w:pPr>
        <w:jc w:val="center"/>
        <w:rPr>
          <w:rFonts w:ascii="Times" w:hAnsi="Times"/>
        </w:rPr>
      </w:pPr>
      <w:r w:rsidRPr="00511229">
        <w:rPr>
          <w:rFonts w:ascii="Times" w:hAnsi="Times"/>
        </w:rPr>
        <w:t>Program Authorized to Offer Degree:</w:t>
      </w:r>
    </w:p>
    <w:p w14:paraId="5ACA7266" w14:textId="77777777" w:rsidR="00DF70F0" w:rsidRDefault="00DF70F0" w:rsidP="00860E0A">
      <w:pPr>
        <w:jc w:val="center"/>
      </w:pPr>
      <w:r w:rsidRPr="00511229">
        <w:rPr>
          <w:rFonts w:ascii="Times" w:hAnsi="Times"/>
        </w:rPr>
        <w:t>Aquatic and Fishery Sciences</w:t>
      </w:r>
    </w:p>
    <w:p w14:paraId="52087942" w14:textId="0BDC5F54" w:rsidR="009179C5" w:rsidRDefault="009179C5" w:rsidP="009179C5">
      <w:pPr>
        <w:jc w:val="center"/>
      </w:pPr>
      <w:r>
        <w:rPr>
          <w:rFonts w:ascii="Cambria" w:hAnsi="Cambria"/>
        </w:rPr>
        <w:lastRenderedPageBreak/>
        <w:t>©</w:t>
      </w:r>
      <w:r>
        <w:t>Copyright 2014</w:t>
      </w:r>
    </w:p>
    <w:p w14:paraId="608FE8A1" w14:textId="2041D024" w:rsidR="009179C5" w:rsidRDefault="009179C5" w:rsidP="009179C5">
      <w:pPr>
        <w:jc w:val="center"/>
      </w:pPr>
      <w:r>
        <w:t>Emma Timmins-Schiffman</w:t>
      </w:r>
    </w:p>
    <w:p w14:paraId="6E042533" w14:textId="77777777" w:rsidR="00DF70F0" w:rsidRDefault="00DF70F0"/>
    <w:p w14:paraId="3013F909" w14:textId="77777777" w:rsidR="00DF70F0" w:rsidRDefault="00DF70F0"/>
    <w:p w14:paraId="09458A24" w14:textId="77777777" w:rsidR="00DF70F0" w:rsidRDefault="00DF70F0"/>
    <w:p w14:paraId="4BD13F93" w14:textId="77777777" w:rsidR="00DF70F0" w:rsidRDefault="00DF70F0"/>
    <w:p w14:paraId="3580C298" w14:textId="77777777" w:rsidR="00DF70F0" w:rsidRDefault="00DF70F0"/>
    <w:p w14:paraId="27B6130B" w14:textId="77777777" w:rsidR="00DF70F0" w:rsidRDefault="00DF70F0"/>
    <w:p w14:paraId="0F054DF6" w14:textId="77777777" w:rsidR="00DF70F0" w:rsidRDefault="00DF70F0"/>
    <w:p w14:paraId="598C9C59" w14:textId="77777777" w:rsidR="00DF70F0" w:rsidRDefault="00DF70F0"/>
    <w:p w14:paraId="0256F534" w14:textId="77777777" w:rsidR="00DF70F0" w:rsidRDefault="00DF70F0"/>
    <w:p w14:paraId="17DAB884" w14:textId="77777777" w:rsidR="009179C5" w:rsidRDefault="009179C5"/>
    <w:p w14:paraId="3CE565B6" w14:textId="77777777" w:rsidR="009179C5" w:rsidRDefault="009179C5"/>
    <w:p w14:paraId="477BD514" w14:textId="77777777" w:rsidR="009179C5" w:rsidRDefault="009179C5"/>
    <w:p w14:paraId="74AA318F" w14:textId="77777777" w:rsidR="009179C5" w:rsidRDefault="009179C5"/>
    <w:p w14:paraId="403C3E39" w14:textId="77777777" w:rsidR="009179C5" w:rsidRDefault="009179C5"/>
    <w:p w14:paraId="622BF389" w14:textId="77777777" w:rsidR="009179C5" w:rsidRDefault="009179C5"/>
    <w:p w14:paraId="4B2ABF03" w14:textId="77777777" w:rsidR="009179C5" w:rsidRDefault="009179C5"/>
    <w:p w14:paraId="41EEB3AD" w14:textId="77777777" w:rsidR="009179C5" w:rsidRDefault="009179C5"/>
    <w:p w14:paraId="7D6FC8AA" w14:textId="77777777" w:rsidR="009179C5" w:rsidRDefault="009179C5"/>
    <w:p w14:paraId="44721346" w14:textId="77777777" w:rsidR="009179C5" w:rsidRDefault="009179C5"/>
    <w:p w14:paraId="675A4576" w14:textId="77777777" w:rsidR="009179C5" w:rsidRDefault="009179C5"/>
    <w:p w14:paraId="0D27A254" w14:textId="77777777" w:rsidR="009179C5" w:rsidRDefault="009179C5"/>
    <w:p w14:paraId="448B178E" w14:textId="77777777" w:rsidR="009179C5" w:rsidRDefault="009179C5"/>
    <w:p w14:paraId="27136E6A" w14:textId="77777777" w:rsidR="009179C5" w:rsidRDefault="009179C5"/>
    <w:p w14:paraId="2F7FAB74" w14:textId="77777777" w:rsidR="009179C5" w:rsidRDefault="009179C5"/>
    <w:p w14:paraId="4FE15DE7" w14:textId="77777777" w:rsidR="009179C5" w:rsidRDefault="009179C5"/>
    <w:p w14:paraId="13DC3BD1" w14:textId="77777777" w:rsidR="009179C5" w:rsidRDefault="009179C5"/>
    <w:p w14:paraId="02EF6CB0" w14:textId="77777777" w:rsidR="009179C5" w:rsidRDefault="009179C5"/>
    <w:p w14:paraId="36295269" w14:textId="77777777" w:rsidR="009179C5" w:rsidRDefault="009179C5"/>
    <w:p w14:paraId="6A4B6202" w14:textId="77777777" w:rsidR="009179C5" w:rsidRDefault="009179C5"/>
    <w:p w14:paraId="68FBCBBA" w14:textId="77777777" w:rsidR="009179C5" w:rsidRDefault="009179C5"/>
    <w:p w14:paraId="1EC39915" w14:textId="77777777" w:rsidR="009179C5" w:rsidRDefault="009179C5"/>
    <w:p w14:paraId="50D46D6E" w14:textId="77777777" w:rsidR="009179C5" w:rsidRDefault="009179C5"/>
    <w:p w14:paraId="0076F4A6" w14:textId="77777777" w:rsidR="009179C5" w:rsidRDefault="009179C5"/>
    <w:p w14:paraId="6E94360E" w14:textId="77777777" w:rsidR="009179C5" w:rsidRDefault="009179C5"/>
    <w:p w14:paraId="46EAA84E" w14:textId="77777777" w:rsidR="009179C5" w:rsidRDefault="009179C5"/>
    <w:p w14:paraId="33478909" w14:textId="77777777" w:rsidR="009179C5" w:rsidRDefault="009179C5"/>
    <w:p w14:paraId="5A60E9CC" w14:textId="77777777" w:rsidR="009179C5" w:rsidRDefault="009179C5"/>
    <w:p w14:paraId="5D096A76" w14:textId="77777777" w:rsidR="00DF70F0" w:rsidRDefault="00DF70F0"/>
    <w:p w14:paraId="4D460EE7" w14:textId="77777777" w:rsidR="00DF70F0" w:rsidRDefault="00DF70F0"/>
    <w:p w14:paraId="13B6A331" w14:textId="77777777" w:rsidR="00DF70F0" w:rsidRDefault="00DF70F0"/>
    <w:p w14:paraId="609F3829" w14:textId="77777777" w:rsidR="00DF70F0" w:rsidRDefault="00DF70F0"/>
    <w:p w14:paraId="573A60EC" w14:textId="77777777" w:rsidR="00DF70F0" w:rsidRDefault="00DF70F0"/>
    <w:p w14:paraId="75A52A61" w14:textId="77777777" w:rsidR="00DF70F0" w:rsidRDefault="00DF70F0"/>
    <w:p w14:paraId="5C57B39D" w14:textId="77777777" w:rsidR="00DF70F0" w:rsidRDefault="00DF70F0"/>
    <w:p w14:paraId="2B9268ED" w14:textId="77777777" w:rsidR="00DF70F0" w:rsidRPr="00511229" w:rsidRDefault="00DF70F0" w:rsidP="00F56FA1">
      <w:pPr>
        <w:jc w:val="center"/>
        <w:rPr>
          <w:rFonts w:ascii="Times" w:hAnsi="Times"/>
        </w:rPr>
      </w:pPr>
      <w:r w:rsidRPr="00511229">
        <w:rPr>
          <w:rFonts w:ascii="Times" w:hAnsi="Times"/>
        </w:rPr>
        <w:t>University of Washington</w:t>
      </w:r>
    </w:p>
    <w:p w14:paraId="2AD00C3D" w14:textId="77777777" w:rsidR="00DF70F0" w:rsidRDefault="00DF70F0" w:rsidP="00F56FA1">
      <w:pPr>
        <w:jc w:val="center"/>
      </w:pPr>
    </w:p>
    <w:p w14:paraId="0A724639" w14:textId="498A2671" w:rsidR="00DF70F0" w:rsidRDefault="00DF70F0" w:rsidP="00F56FA1">
      <w:pPr>
        <w:pStyle w:val="Heading1"/>
        <w:jc w:val="center"/>
      </w:pPr>
      <w:bookmarkStart w:id="0" w:name="_Toc257278755"/>
      <w:r>
        <w:t>Abstract</w:t>
      </w:r>
      <w:bookmarkEnd w:id="0"/>
    </w:p>
    <w:p w14:paraId="4323DFD2" w14:textId="77777777" w:rsidR="00AC2BC9" w:rsidRPr="00AC2BC9" w:rsidRDefault="00AC2BC9" w:rsidP="00AC2BC9"/>
    <w:p w14:paraId="5CFCA5D0" w14:textId="77777777" w:rsidR="00DF70F0" w:rsidRDefault="00DF70F0"/>
    <w:p w14:paraId="7781A701" w14:textId="77777777" w:rsidR="00426D9F" w:rsidRPr="00511229" w:rsidRDefault="00426D9F" w:rsidP="00AC2BC9">
      <w:pPr>
        <w:jc w:val="center"/>
        <w:rPr>
          <w:rFonts w:ascii="Times" w:hAnsi="Times"/>
        </w:rPr>
      </w:pPr>
      <w:r w:rsidRPr="00511229">
        <w:rPr>
          <w:rFonts w:ascii="Times" w:hAnsi="Times"/>
        </w:rPr>
        <w:t xml:space="preserve">The Effects of Ocean Acidification on Multiple Life History Stages of the Pacific Oyster, </w:t>
      </w:r>
      <w:r w:rsidRPr="00511229">
        <w:rPr>
          <w:rFonts w:ascii="Times" w:hAnsi="Times"/>
          <w:i/>
        </w:rPr>
        <w:t>Crassostrea gigas</w:t>
      </w:r>
      <w:r w:rsidRPr="00511229">
        <w:rPr>
          <w:rFonts w:ascii="Times" w:hAnsi="Times"/>
        </w:rPr>
        <w:t>: Implications for Physiological Trade-offs</w:t>
      </w:r>
    </w:p>
    <w:p w14:paraId="28064812" w14:textId="77777777" w:rsidR="00DF70F0" w:rsidRPr="00511229" w:rsidRDefault="00DF70F0" w:rsidP="00AC2BC9">
      <w:pPr>
        <w:jc w:val="center"/>
        <w:rPr>
          <w:rFonts w:ascii="Times" w:hAnsi="Times"/>
        </w:rPr>
      </w:pPr>
    </w:p>
    <w:p w14:paraId="1407AF49" w14:textId="77777777" w:rsidR="00DF70F0" w:rsidRPr="00511229" w:rsidRDefault="00DF70F0" w:rsidP="00AC2BC9">
      <w:pPr>
        <w:jc w:val="center"/>
        <w:rPr>
          <w:rFonts w:ascii="Times" w:hAnsi="Times"/>
        </w:rPr>
      </w:pPr>
      <w:r w:rsidRPr="00511229">
        <w:rPr>
          <w:rFonts w:ascii="Times" w:hAnsi="Times"/>
        </w:rPr>
        <w:t>Emma Timmins-Schiffman</w:t>
      </w:r>
    </w:p>
    <w:p w14:paraId="05DC47B5" w14:textId="77777777" w:rsidR="00DF70F0" w:rsidRPr="00511229" w:rsidRDefault="00DF70F0" w:rsidP="00AC2BC9">
      <w:pPr>
        <w:jc w:val="center"/>
        <w:rPr>
          <w:rFonts w:ascii="Times" w:hAnsi="Times"/>
        </w:rPr>
      </w:pPr>
    </w:p>
    <w:p w14:paraId="6EB7A977" w14:textId="77777777" w:rsidR="00DF70F0" w:rsidRPr="00511229" w:rsidRDefault="00DF70F0" w:rsidP="00AC2BC9">
      <w:pPr>
        <w:jc w:val="center"/>
        <w:rPr>
          <w:rFonts w:ascii="Times" w:hAnsi="Times"/>
        </w:rPr>
      </w:pPr>
      <w:r w:rsidRPr="00511229">
        <w:rPr>
          <w:rFonts w:ascii="Times" w:hAnsi="Times"/>
        </w:rPr>
        <w:t>Chair of the Supervisory Committee:</w:t>
      </w:r>
    </w:p>
    <w:p w14:paraId="16ED3BB6" w14:textId="1EF4222B" w:rsidR="00DF70F0" w:rsidRPr="00511229" w:rsidRDefault="0052729A" w:rsidP="00AC2BC9">
      <w:pPr>
        <w:jc w:val="center"/>
        <w:rPr>
          <w:rFonts w:ascii="Times" w:hAnsi="Times"/>
        </w:rPr>
      </w:pPr>
      <w:r w:rsidRPr="00511229">
        <w:rPr>
          <w:rFonts w:ascii="Times" w:hAnsi="Times"/>
        </w:rPr>
        <w:t>Associate</w:t>
      </w:r>
      <w:r w:rsidR="00DF70F0" w:rsidRPr="00511229">
        <w:rPr>
          <w:rFonts w:ascii="Times" w:hAnsi="Times"/>
        </w:rPr>
        <w:t xml:space="preserve"> Professor Steven B. Roberts</w:t>
      </w:r>
    </w:p>
    <w:p w14:paraId="261863CD" w14:textId="77777777" w:rsidR="00DF70F0" w:rsidRPr="00511229" w:rsidRDefault="00DF70F0" w:rsidP="00AC2BC9">
      <w:pPr>
        <w:jc w:val="center"/>
        <w:rPr>
          <w:rFonts w:ascii="Times" w:hAnsi="Times"/>
        </w:rPr>
      </w:pPr>
      <w:r w:rsidRPr="00511229">
        <w:rPr>
          <w:rFonts w:ascii="Times" w:hAnsi="Times"/>
        </w:rPr>
        <w:t>School of Aquatic and Fishery Sciences</w:t>
      </w:r>
    </w:p>
    <w:p w14:paraId="524E6071" w14:textId="77777777" w:rsidR="00AC2BC9" w:rsidRPr="00511229" w:rsidRDefault="00AC2BC9" w:rsidP="00AC2BC9">
      <w:pPr>
        <w:jc w:val="center"/>
        <w:rPr>
          <w:rFonts w:ascii="Times" w:hAnsi="Times"/>
        </w:rPr>
      </w:pPr>
    </w:p>
    <w:p w14:paraId="387EE7F4" w14:textId="37FE33FD" w:rsidR="00AC2BC9" w:rsidRPr="00511229" w:rsidRDefault="00AC2BC9" w:rsidP="00F56FA1">
      <w:pPr>
        <w:spacing w:line="360" w:lineRule="auto"/>
        <w:ind w:firstLine="720"/>
        <w:rPr>
          <w:rFonts w:ascii="Times" w:hAnsi="Times"/>
        </w:rPr>
      </w:pPr>
      <w:r w:rsidRPr="00511229">
        <w:rPr>
          <w:rFonts w:ascii="Times" w:hAnsi="Times"/>
        </w:rPr>
        <w:t xml:space="preserve">As global climate change </w:t>
      </w:r>
      <w:r w:rsidR="004D4384" w:rsidRPr="00511229">
        <w:rPr>
          <w:rFonts w:ascii="Times" w:hAnsi="Times"/>
        </w:rPr>
        <w:t>accelerates</w:t>
      </w:r>
      <w:r w:rsidRPr="00511229">
        <w:rPr>
          <w:rFonts w:ascii="Times" w:hAnsi="Times"/>
        </w:rPr>
        <w:t>, due in large part to increasing emissions</w:t>
      </w:r>
      <w:r w:rsidR="004D4384" w:rsidRPr="00511229">
        <w:rPr>
          <w:rFonts w:ascii="Times" w:hAnsi="Times"/>
        </w:rPr>
        <w:t xml:space="preserve"> of carbon dioxide and other greenhouse gases</w:t>
      </w:r>
      <w:r w:rsidRPr="00511229">
        <w:rPr>
          <w:rFonts w:ascii="Times" w:hAnsi="Times"/>
        </w:rPr>
        <w:t xml:space="preserve"> from fossil fuel use</w:t>
      </w:r>
      <w:r w:rsidR="004D4384" w:rsidRPr="00511229">
        <w:rPr>
          <w:rFonts w:ascii="Times" w:hAnsi="Times"/>
        </w:rPr>
        <w:t>, agriculture,</w:t>
      </w:r>
      <w:r w:rsidRPr="00511229">
        <w:rPr>
          <w:rFonts w:ascii="Times" w:hAnsi="Times"/>
        </w:rPr>
        <w:t xml:space="preserve"> and </w:t>
      </w:r>
      <w:r w:rsidR="004D4384" w:rsidRPr="00511229">
        <w:rPr>
          <w:rFonts w:ascii="Times" w:hAnsi="Times"/>
        </w:rPr>
        <w:t xml:space="preserve">large-scale changes in </w:t>
      </w:r>
      <w:r w:rsidRPr="00511229">
        <w:rPr>
          <w:rFonts w:ascii="Times" w:hAnsi="Times"/>
        </w:rPr>
        <w:t>land use, natural ecosystems bear the consequences</w:t>
      </w:r>
      <w:r w:rsidR="004D4384" w:rsidRPr="00511229">
        <w:rPr>
          <w:rFonts w:ascii="Times" w:hAnsi="Times"/>
        </w:rPr>
        <w:t>.  For marine systems these include</w:t>
      </w:r>
      <w:r w:rsidRPr="00511229">
        <w:rPr>
          <w:rFonts w:ascii="Times" w:hAnsi="Times"/>
        </w:rPr>
        <w:t xml:space="preserve"> increased </w:t>
      </w:r>
      <w:r w:rsidR="004D4384" w:rsidRPr="00511229">
        <w:rPr>
          <w:rFonts w:ascii="Times" w:hAnsi="Times"/>
        </w:rPr>
        <w:t xml:space="preserve">mean seawater </w:t>
      </w:r>
      <w:r w:rsidRPr="00511229">
        <w:rPr>
          <w:rFonts w:ascii="Times" w:hAnsi="Times"/>
        </w:rPr>
        <w:t xml:space="preserve">temperature, </w:t>
      </w:r>
      <w:r w:rsidR="004D4384" w:rsidRPr="00511229">
        <w:rPr>
          <w:rFonts w:ascii="Times" w:hAnsi="Times"/>
        </w:rPr>
        <w:t>changes in carbonate chemistry equilibria</w:t>
      </w:r>
      <w:r w:rsidRPr="00511229">
        <w:rPr>
          <w:rFonts w:ascii="Times" w:hAnsi="Times"/>
        </w:rPr>
        <w:t>,</w:t>
      </w:r>
      <w:r w:rsidR="001C03BF" w:rsidRPr="00511229">
        <w:rPr>
          <w:rFonts w:ascii="Times" w:hAnsi="Times"/>
        </w:rPr>
        <w:t xml:space="preserve"> and</w:t>
      </w:r>
      <w:r w:rsidRPr="00511229">
        <w:rPr>
          <w:rFonts w:ascii="Times" w:hAnsi="Times"/>
        </w:rPr>
        <w:t xml:space="preserve"> increased</w:t>
      </w:r>
      <w:r w:rsidR="004D4384" w:rsidRPr="00511229">
        <w:rPr>
          <w:rFonts w:ascii="Times" w:hAnsi="Times"/>
        </w:rPr>
        <w:t xml:space="preserve"> pollutant loading due to non-point</w:t>
      </w:r>
      <w:r w:rsidRPr="00511229">
        <w:rPr>
          <w:rFonts w:ascii="Times" w:hAnsi="Times"/>
        </w:rPr>
        <w:t xml:space="preserve"> run-off</w:t>
      </w:r>
      <w:r w:rsidR="00724B3E" w:rsidRPr="00511229">
        <w:rPr>
          <w:rFonts w:ascii="Times" w:hAnsi="Times"/>
        </w:rPr>
        <w:t>,</w:t>
      </w:r>
      <w:r w:rsidR="004D4384" w:rsidRPr="00511229">
        <w:rPr>
          <w:rFonts w:ascii="Times" w:hAnsi="Times"/>
        </w:rPr>
        <w:t xml:space="preserve"> among other effects</w:t>
      </w:r>
      <w:r w:rsidRPr="00511229">
        <w:rPr>
          <w:rFonts w:ascii="Times" w:hAnsi="Times"/>
        </w:rPr>
        <w:t xml:space="preserve">. </w:t>
      </w:r>
      <w:r w:rsidR="004D4384" w:rsidRPr="00511229">
        <w:rPr>
          <w:rFonts w:ascii="Times" w:hAnsi="Times"/>
        </w:rPr>
        <w:t xml:space="preserve"> H</w:t>
      </w:r>
      <w:r w:rsidRPr="00511229">
        <w:rPr>
          <w:rFonts w:ascii="Times" w:hAnsi="Times"/>
        </w:rPr>
        <w:t>uman-induced environmental changes will not have the same magnitude of effect in all regions, but on average the changes occurring are rapid and significant.  Natural populations will either need to acclimatize and/or adapt</w:t>
      </w:r>
      <w:r w:rsidR="001C03BF" w:rsidRPr="00511229">
        <w:rPr>
          <w:rFonts w:ascii="Times" w:hAnsi="Times"/>
        </w:rPr>
        <w:t>,</w:t>
      </w:r>
      <w:r w:rsidRPr="00511229">
        <w:rPr>
          <w:rFonts w:ascii="Times" w:hAnsi="Times"/>
        </w:rPr>
        <w:t xml:space="preserve"> or shift their ranges to</w:t>
      </w:r>
      <w:r w:rsidR="004D4384" w:rsidRPr="00511229">
        <w:rPr>
          <w:rFonts w:ascii="Times" w:hAnsi="Times"/>
        </w:rPr>
        <w:t xml:space="preserve"> enable continued existence</w:t>
      </w:r>
      <w:r w:rsidRPr="00511229">
        <w:rPr>
          <w:rFonts w:ascii="Times" w:hAnsi="Times"/>
        </w:rPr>
        <w:t xml:space="preserve">.  This dissertation explores the effects of ocean acidification on the Pacific oyster, </w:t>
      </w:r>
      <w:r w:rsidRPr="00511229">
        <w:rPr>
          <w:rFonts w:ascii="Times" w:hAnsi="Times"/>
          <w:i/>
        </w:rPr>
        <w:t>Crassostrea gigas</w:t>
      </w:r>
      <w:r w:rsidRPr="00511229">
        <w:rPr>
          <w:rFonts w:ascii="Times" w:hAnsi="Times"/>
        </w:rPr>
        <w:t>.  Oysters are sedentary and inhabit a naturally variable environment (the intertidal</w:t>
      </w:r>
      <w:r w:rsidR="004D4384" w:rsidRPr="00511229">
        <w:rPr>
          <w:rFonts w:ascii="Times" w:hAnsi="Times"/>
        </w:rPr>
        <w:t xml:space="preserve"> zone</w:t>
      </w:r>
      <w:r w:rsidRPr="00511229">
        <w:rPr>
          <w:rFonts w:ascii="Times" w:hAnsi="Times"/>
        </w:rPr>
        <w:t>) and thus may be pre-adapted to withstand rapid environmental change.</w:t>
      </w:r>
      <w:r w:rsidR="00535AF0" w:rsidRPr="00511229">
        <w:rPr>
          <w:rFonts w:ascii="Times" w:hAnsi="Times"/>
        </w:rPr>
        <w:t xml:space="preserve">  Oysters and similarly sedentary organisms are ideal for investigating the effects of environmental change on biology because they are not able to escape these changes, but must respond physiologically (acclimatize) if they are to survive</w:t>
      </w:r>
      <w:r w:rsidR="00921C23" w:rsidRPr="00511229">
        <w:rPr>
          <w:rFonts w:ascii="Times" w:hAnsi="Times"/>
        </w:rPr>
        <w:t>.  Due to this ecological history, oysters provide a model that allows us to explore potential physiological mechanisms that are needed in</w:t>
      </w:r>
      <w:r w:rsidR="00724B3E" w:rsidRPr="00511229">
        <w:rPr>
          <w:rFonts w:ascii="Times" w:hAnsi="Times"/>
        </w:rPr>
        <w:t xml:space="preserve"> a</w:t>
      </w:r>
      <w:r w:rsidR="00921C23" w:rsidRPr="00511229">
        <w:rPr>
          <w:rFonts w:ascii="Times" w:hAnsi="Times"/>
        </w:rPr>
        <w:t xml:space="preserve"> response to specific environmental changes as well as the limits of these mechanisms.</w:t>
      </w:r>
    </w:p>
    <w:p w14:paraId="499740F1" w14:textId="4AFF7548" w:rsidR="004D4384" w:rsidRPr="00511229" w:rsidRDefault="00AC2BC9" w:rsidP="00F56FA1">
      <w:pPr>
        <w:spacing w:line="360" w:lineRule="auto"/>
        <w:ind w:firstLine="720"/>
        <w:rPr>
          <w:rFonts w:ascii="Times" w:hAnsi="Times"/>
        </w:rPr>
      </w:pPr>
      <w:r w:rsidRPr="00511229">
        <w:rPr>
          <w:rFonts w:ascii="Times" w:hAnsi="Times"/>
        </w:rPr>
        <w:t>In the first chapter, the effects of elevated partial pressure of CO</w:t>
      </w:r>
      <w:r w:rsidRPr="00511229">
        <w:rPr>
          <w:rFonts w:ascii="Times" w:hAnsi="Times"/>
          <w:vertAlign w:val="subscript"/>
        </w:rPr>
        <w:t>2</w:t>
      </w:r>
      <w:r w:rsidRPr="00511229">
        <w:rPr>
          <w:rFonts w:ascii="Times" w:hAnsi="Times"/>
        </w:rPr>
        <w:t xml:space="preserve"> (</w:t>
      </w:r>
      <w:r w:rsidRPr="00511229">
        <w:rPr>
          <w:rFonts w:ascii="Times" w:hAnsi="Times"/>
          <w:i/>
        </w:rPr>
        <w:t>p</w:t>
      </w:r>
      <w:r w:rsidRPr="00511229">
        <w:rPr>
          <w:rFonts w:ascii="Times" w:hAnsi="Times"/>
        </w:rPr>
        <w:t>CO</w:t>
      </w:r>
      <w:r w:rsidRPr="00511229">
        <w:rPr>
          <w:rFonts w:ascii="Times" w:hAnsi="Times"/>
          <w:vertAlign w:val="subscript"/>
        </w:rPr>
        <w:t>2</w:t>
      </w:r>
      <w:r w:rsidRPr="00511229">
        <w:rPr>
          <w:rFonts w:ascii="Times" w:hAnsi="Times"/>
        </w:rPr>
        <w:t xml:space="preserve">, </w:t>
      </w:r>
      <w:r w:rsidR="004D4384" w:rsidRPr="00511229">
        <w:rPr>
          <w:rFonts w:ascii="Times" w:hAnsi="Times"/>
        </w:rPr>
        <w:t>a major driver</w:t>
      </w:r>
      <w:r w:rsidRPr="00511229">
        <w:rPr>
          <w:rFonts w:ascii="Times" w:hAnsi="Times"/>
        </w:rPr>
        <w:t xml:space="preserve"> of ocean acidification) on oyster larvae are explored.  Larvae were exposed to low pH during early development,</w:t>
      </w:r>
      <w:r w:rsidR="004D4384" w:rsidRPr="00511229">
        <w:rPr>
          <w:rFonts w:ascii="Times" w:hAnsi="Times"/>
        </w:rPr>
        <w:t xml:space="preserve"> a period that included</w:t>
      </w:r>
      <w:r w:rsidRPr="00511229">
        <w:rPr>
          <w:rFonts w:ascii="Times" w:hAnsi="Times"/>
        </w:rPr>
        <w:t xml:space="preserve"> the transition from energetic dependence on maternally derived lipids to dependence on exogenous resources.  Larvae were found to experience a developmental delay at elevated </w:t>
      </w:r>
      <w:r w:rsidRPr="00511229">
        <w:rPr>
          <w:rFonts w:ascii="Times" w:hAnsi="Times"/>
          <w:i/>
        </w:rPr>
        <w:t>p</w:t>
      </w:r>
      <w:r w:rsidRPr="00511229">
        <w:rPr>
          <w:rFonts w:ascii="Times" w:hAnsi="Times"/>
        </w:rPr>
        <w:t>CO</w:t>
      </w:r>
      <w:r w:rsidRPr="00511229">
        <w:rPr>
          <w:rFonts w:ascii="Times" w:hAnsi="Times"/>
          <w:vertAlign w:val="subscript"/>
        </w:rPr>
        <w:t>2</w:t>
      </w:r>
      <w:r w:rsidRPr="00511229">
        <w:rPr>
          <w:rFonts w:ascii="Times" w:hAnsi="Times"/>
        </w:rPr>
        <w:t xml:space="preserve">, manifested as smaller size and slower rate of shell deposition.  </w:t>
      </w:r>
      <w:r w:rsidR="00467896" w:rsidRPr="00511229">
        <w:rPr>
          <w:rFonts w:ascii="Times" w:hAnsi="Times"/>
        </w:rPr>
        <w:t>These significant effects of ocean acidification on early larval development may indicate a bottleneck in the oyster life cycle as the pH of marine waters decreases.  Subsequent research has shown that these effects at early larval stages can carry over into later stages after settlement in another oyster species (Hettinger et al. 2012).</w:t>
      </w:r>
    </w:p>
    <w:p w14:paraId="70912004" w14:textId="37FFE2B9" w:rsidR="004D4384" w:rsidRPr="00511229" w:rsidRDefault="00423E2A" w:rsidP="00F56FA1">
      <w:pPr>
        <w:spacing w:line="360" w:lineRule="auto"/>
        <w:ind w:firstLine="720"/>
        <w:rPr>
          <w:rFonts w:ascii="Times" w:hAnsi="Times"/>
        </w:rPr>
      </w:pPr>
      <w:r w:rsidRPr="00511229">
        <w:rPr>
          <w:rFonts w:ascii="Times" w:hAnsi="Times"/>
        </w:rPr>
        <w:t xml:space="preserve">In order to better understand the effects of environmental change on oyster physiology, we developed proteomic tools to explore changes in protein pathways in oyster gill (ctenidia) tissue.  </w:t>
      </w:r>
      <w:r w:rsidR="00AC2BC9" w:rsidRPr="00511229">
        <w:rPr>
          <w:rFonts w:ascii="Times" w:hAnsi="Times"/>
        </w:rPr>
        <w:t>The second chapter explores the gill proteome (suite of expressed proteins) of adult oysters.  Characterization of the proteome provides insight into the physiological mechanisms that may be available to the oyster during</w:t>
      </w:r>
      <w:r w:rsidR="00724B3E" w:rsidRPr="00511229">
        <w:rPr>
          <w:rFonts w:ascii="Times" w:hAnsi="Times"/>
        </w:rPr>
        <w:t xml:space="preserve"> response to an</w:t>
      </w:r>
      <w:r w:rsidR="00AC2BC9" w:rsidRPr="00511229">
        <w:rPr>
          <w:rFonts w:ascii="Times" w:hAnsi="Times"/>
        </w:rPr>
        <w:t xml:space="preserve"> environmental stress.</w:t>
      </w:r>
      <w:r w:rsidRPr="00511229">
        <w:rPr>
          <w:rFonts w:ascii="Times" w:hAnsi="Times"/>
        </w:rPr>
        <w:t xml:space="preserve">  The results </w:t>
      </w:r>
      <w:r w:rsidR="00724B3E" w:rsidRPr="00511229">
        <w:rPr>
          <w:rFonts w:ascii="Times" w:hAnsi="Times"/>
        </w:rPr>
        <w:t>revealed</w:t>
      </w:r>
      <w:r w:rsidRPr="00511229">
        <w:rPr>
          <w:rFonts w:ascii="Times" w:hAnsi="Times"/>
        </w:rPr>
        <w:t xml:space="preserve"> that the </w:t>
      </w:r>
      <w:r w:rsidR="00535AF0" w:rsidRPr="00511229">
        <w:rPr>
          <w:rFonts w:ascii="Times" w:hAnsi="Times"/>
        </w:rPr>
        <w:t>ctenidia</w:t>
      </w:r>
      <w:r w:rsidRPr="00511229">
        <w:rPr>
          <w:rFonts w:ascii="Times" w:hAnsi="Times"/>
        </w:rPr>
        <w:t xml:space="preserve"> proteome includes a diverse array of proteins that accomplish many functions and that it is a metabolically active tissue.  </w:t>
      </w:r>
      <w:r w:rsidR="00724B3E" w:rsidRPr="00511229">
        <w:rPr>
          <w:rFonts w:ascii="Times" w:hAnsi="Times"/>
        </w:rPr>
        <w:t>The proteome sequencing lays</w:t>
      </w:r>
      <w:r w:rsidRPr="00511229">
        <w:rPr>
          <w:rFonts w:ascii="Times" w:hAnsi="Times"/>
        </w:rPr>
        <w:t xml:space="preserve"> the groundwork for exploring how ocean acidification affects various proteomic pathways in the tissue that acts as the interface between the oyster and its environment.</w:t>
      </w:r>
      <w:r w:rsidR="00AC2BC9" w:rsidRPr="00511229">
        <w:rPr>
          <w:rFonts w:ascii="Times" w:hAnsi="Times"/>
        </w:rPr>
        <w:t xml:space="preserve">   </w:t>
      </w:r>
    </w:p>
    <w:p w14:paraId="1EEC5FE2" w14:textId="5259D290" w:rsidR="00ED7FBC" w:rsidRDefault="00AC2BC9" w:rsidP="00F56FA1">
      <w:pPr>
        <w:spacing w:line="360" w:lineRule="auto"/>
        <w:ind w:firstLine="720"/>
      </w:pPr>
      <w:r w:rsidRPr="00511229">
        <w:rPr>
          <w:rFonts w:ascii="Times" w:hAnsi="Times"/>
        </w:rPr>
        <w:t>Lastly, the adult oyster response to ocean acidification and a second stress are explored via proteomics, fatty acid profiles,</w:t>
      </w:r>
      <w:r w:rsidR="00423E2A" w:rsidRPr="00511229">
        <w:rPr>
          <w:rFonts w:ascii="Times" w:hAnsi="Times"/>
        </w:rPr>
        <w:t xml:space="preserve"> glycogen content,</w:t>
      </w:r>
      <w:r w:rsidRPr="00511229">
        <w:rPr>
          <w:rFonts w:ascii="Times" w:hAnsi="Times"/>
        </w:rPr>
        <w:t xml:space="preserve"> shell microstructure, and mortality in response to heat shock. </w:t>
      </w:r>
      <w:r w:rsidR="00423E2A" w:rsidRPr="00511229">
        <w:rPr>
          <w:rFonts w:ascii="Times" w:hAnsi="Times"/>
        </w:rPr>
        <w:t xml:space="preserve"> There was a significant impact of ocean acidification on oyster shell integrity, but no effects after one month of exposure on relative amounts of fatty acid, glycogen or response to acute heat shock.  Through the proteomic analysis, we revealed an active and significant proteomic response to ocean acidification exposure, uncovering some of the mechanisms behind the observed macro-phenotypic changes.  Additionally, the proteomic response to mechanical stimulation was largely altered between low and high </w:t>
      </w:r>
      <w:r w:rsidR="00423E2A" w:rsidRPr="00511229">
        <w:rPr>
          <w:rFonts w:ascii="Times" w:hAnsi="Times"/>
          <w:i/>
        </w:rPr>
        <w:t>p</w:t>
      </w:r>
      <w:r w:rsidR="00423E2A" w:rsidRPr="00511229">
        <w:rPr>
          <w:rFonts w:ascii="Times" w:hAnsi="Times"/>
        </w:rPr>
        <w:t>CO</w:t>
      </w:r>
      <w:r w:rsidR="00423E2A" w:rsidRPr="00511229">
        <w:rPr>
          <w:rFonts w:ascii="Times" w:hAnsi="Times"/>
          <w:vertAlign w:val="subscript"/>
        </w:rPr>
        <w:t>2</w:t>
      </w:r>
      <w:r w:rsidR="00423E2A" w:rsidRPr="00511229">
        <w:rPr>
          <w:rFonts w:ascii="Times" w:hAnsi="Times"/>
        </w:rPr>
        <w:t>, suggesting that ocean acidification can fundamentally change how oysters respond to a second stress.</w:t>
      </w:r>
      <w:r w:rsidR="00423E2A">
        <w:t xml:space="preserve">  </w:t>
      </w:r>
    </w:p>
    <w:p w14:paraId="18E5B053" w14:textId="1E2D1440" w:rsidR="00841603" w:rsidRDefault="00841603" w:rsidP="00841603">
      <w:pPr>
        <w:pStyle w:val="Heading2"/>
      </w:pPr>
      <w:bookmarkStart w:id="1" w:name="_Toc257278756"/>
      <w:r>
        <w:t>Works Cited</w:t>
      </w:r>
      <w:bookmarkEnd w:id="1"/>
    </w:p>
    <w:p w14:paraId="529147DD" w14:textId="77777777" w:rsidR="002A2EFE" w:rsidRDefault="00841603" w:rsidP="00177103">
      <w:pPr>
        <w:ind w:left="720" w:hanging="720"/>
        <w:rPr>
          <w:rFonts w:ascii="Times" w:hAnsi="Times"/>
        </w:rPr>
      </w:pPr>
      <w:r w:rsidRPr="00511229">
        <w:rPr>
          <w:rFonts w:ascii="Times" w:hAnsi="Times"/>
        </w:rPr>
        <w:t xml:space="preserve">Hettinger, A., Sanford, E., Hill, T.M., Russell, A.D., Sato, K.N., Hoey, J., Forsch, M., Page, H.N. and Gaylord, B. (2012). Persistent carry-over effects of planktonic exposure to ocean acidification in the Olympia oyster. </w:t>
      </w:r>
      <w:r w:rsidRPr="00511229">
        <w:rPr>
          <w:rFonts w:ascii="Times" w:hAnsi="Times"/>
          <w:i/>
        </w:rPr>
        <w:t>Ecology</w:t>
      </w:r>
      <w:r w:rsidRPr="00511229">
        <w:rPr>
          <w:rFonts w:ascii="Times" w:hAnsi="Times"/>
        </w:rPr>
        <w:t xml:space="preserve"> , </w:t>
      </w:r>
      <w:r w:rsidRPr="00511229">
        <w:rPr>
          <w:rFonts w:ascii="Times" w:hAnsi="Times"/>
          <w:i/>
        </w:rPr>
        <w:t>93</w:t>
      </w:r>
      <w:r w:rsidRPr="00511229">
        <w:rPr>
          <w:rFonts w:ascii="Times" w:hAnsi="Times"/>
        </w:rPr>
        <w:t>(12): 2758-2768.</w:t>
      </w:r>
    </w:p>
    <w:p w14:paraId="2891F998" w14:textId="2A7EC1DA" w:rsidR="00DF70F0" w:rsidRPr="002A2EFE" w:rsidRDefault="00DF70F0" w:rsidP="002A2EFE">
      <w:pPr>
        <w:pStyle w:val="Heading1"/>
      </w:pPr>
      <w:bookmarkStart w:id="2" w:name="_Toc257278757"/>
      <w:r>
        <w:t>Table of Contents</w:t>
      </w:r>
      <w:bookmarkEnd w:id="2"/>
    </w:p>
    <w:p w14:paraId="41D0A995" w14:textId="77777777" w:rsidR="009179C5" w:rsidRDefault="009179C5">
      <w:pPr>
        <w:pStyle w:val="TOC1"/>
        <w:tabs>
          <w:tab w:val="right" w:leader="dot" w:pos="8630"/>
        </w:tabs>
        <w:rPr>
          <w:noProof/>
        </w:rPr>
      </w:pPr>
      <w:r>
        <w:rPr>
          <w:rFonts w:ascii="Times" w:hAnsi="Times"/>
        </w:rPr>
        <w:fldChar w:fldCharType="begin"/>
      </w:r>
      <w:r>
        <w:rPr>
          <w:rFonts w:ascii="Times" w:hAnsi="Times"/>
        </w:rPr>
        <w:instrText xml:space="preserve"> TOC \o "1-3" </w:instrText>
      </w:r>
      <w:r>
        <w:rPr>
          <w:rFonts w:ascii="Times" w:hAnsi="Times"/>
        </w:rPr>
        <w:fldChar w:fldCharType="separate"/>
      </w:r>
      <w:r>
        <w:rPr>
          <w:noProof/>
        </w:rPr>
        <w:t>Abstract</w:t>
      </w:r>
      <w:r>
        <w:rPr>
          <w:noProof/>
        </w:rPr>
        <w:tab/>
      </w:r>
      <w:r>
        <w:rPr>
          <w:noProof/>
        </w:rPr>
        <w:fldChar w:fldCharType="begin"/>
      </w:r>
      <w:r>
        <w:rPr>
          <w:noProof/>
        </w:rPr>
        <w:instrText xml:space="preserve"> PAGEREF _Toc257278755 \h </w:instrText>
      </w:r>
      <w:r>
        <w:rPr>
          <w:noProof/>
        </w:rPr>
      </w:r>
      <w:r>
        <w:rPr>
          <w:noProof/>
        </w:rPr>
        <w:fldChar w:fldCharType="separate"/>
      </w:r>
      <w:r>
        <w:rPr>
          <w:noProof/>
        </w:rPr>
        <w:t>3</w:t>
      </w:r>
      <w:r>
        <w:rPr>
          <w:noProof/>
        </w:rPr>
        <w:fldChar w:fldCharType="end"/>
      </w:r>
    </w:p>
    <w:p w14:paraId="7D069DD4" w14:textId="77777777" w:rsidR="009179C5" w:rsidRDefault="009179C5">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_Toc257278756 \h </w:instrText>
      </w:r>
      <w:r>
        <w:rPr>
          <w:noProof/>
        </w:rPr>
      </w:r>
      <w:r>
        <w:rPr>
          <w:noProof/>
        </w:rPr>
        <w:fldChar w:fldCharType="separate"/>
      </w:r>
      <w:r>
        <w:rPr>
          <w:noProof/>
        </w:rPr>
        <w:t>4</w:t>
      </w:r>
      <w:r>
        <w:rPr>
          <w:noProof/>
        </w:rPr>
        <w:fldChar w:fldCharType="end"/>
      </w:r>
    </w:p>
    <w:p w14:paraId="01E1D304" w14:textId="77777777" w:rsidR="009179C5" w:rsidRDefault="009179C5">
      <w:pPr>
        <w:pStyle w:val="TOC1"/>
        <w:tabs>
          <w:tab w:val="right" w:leader="dot" w:pos="8630"/>
        </w:tabs>
        <w:rPr>
          <w:noProof/>
        </w:rPr>
      </w:pPr>
      <w:r>
        <w:rPr>
          <w:noProof/>
        </w:rPr>
        <w:t>Table of Contents</w:t>
      </w:r>
      <w:r>
        <w:rPr>
          <w:noProof/>
        </w:rPr>
        <w:tab/>
      </w:r>
      <w:r>
        <w:rPr>
          <w:noProof/>
        </w:rPr>
        <w:fldChar w:fldCharType="begin"/>
      </w:r>
      <w:r>
        <w:rPr>
          <w:noProof/>
        </w:rPr>
        <w:instrText xml:space="preserve"> PAGEREF _Toc257278757 \h </w:instrText>
      </w:r>
      <w:r>
        <w:rPr>
          <w:noProof/>
        </w:rPr>
      </w:r>
      <w:r>
        <w:rPr>
          <w:noProof/>
        </w:rPr>
        <w:fldChar w:fldCharType="separate"/>
      </w:r>
      <w:r>
        <w:rPr>
          <w:noProof/>
        </w:rPr>
        <w:t>5</w:t>
      </w:r>
      <w:r>
        <w:rPr>
          <w:noProof/>
        </w:rPr>
        <w:fldChar w:fldCharType="end"/>
      </w:r>
    </w:p>
    <w:p w14:paraId="4F6903D0" w14:textId="77777777" w:rsidR="009179C5" w:rsidRDefault="009179C5">
      <w:pPr>
        <w:pStyle w:val="TOC1"/>
        <w:tabs>
          <w:tab w:val="right" w:leader="dot" w:pos="8630"/>
        </w:tabs>
        <w:rPr>
          <w:noProof/>
        </w:rPr>
      </w:pPr>
      <w:r>
        <w:rPr>
          <w:noProof/>
        </w:rPr>
        <w:t>List of Figures</w:t>
      </w:r>
      <w:r>
        <w:rPr>
          <w:noProof/>
        </w:rPr>
        <w:tab/>
      </w:r>
      <w:r>
        <w:rPr>
          <w:noProof/>
        </w:rPr>
        <w:fldChar w:fldCharType="begin"/>
      </w:r>
      <w:r>
        <w:rPr>
          <w:noProof/>
        </w:rPr>
        <w:instrText xml:space="preserve"> PAGEREF _Toc257278758 \h </w:instrText>
      </w:r>
      <w:r>
        <w:rPr>
          <w:noProof/>
        </w:rPr>
      </w:r>
      <w:r>
        <w:rPr>
          <w:noProof/>
        </w:rPr>
        <w:fldChar w:fldCharType="separate"/>
      </w:r>
      <w:r>
        <w:rPr>
          <w:noProof/>
        </w:rPr>
        <w:t>7</w:t>
      </w:r>
      <w:r>
        <w:rPr>
          <w:noProof/>
        </w:rPr>
        <w:fldChar w:fldCharType="end"/>
      </w:r>
    </w:p>
    <w:p w14:paraId="0AC427B9" w14:textId="77777777" w:rsidR="009179C5" w:rsidRDefault="009179C5">
      <w:pPr>
        <w:pStyle w:val="TOC1"/>
        <w:tabs>
          <w:tab w:val="right" w:leader="dot" w:pos="8630"/>
        </w:tabs>
        <w:rPr>
          <w:noProof/>
        </w:rPr>
      </w:pPr>
      <w:r>
        <w:rPr>
          <w:noProof/>
        </w:rPr>
        <w:t>List of Tables</w:t>
      </w:r>
      <w:r>
        <w:rPr>
          <w:noProof/>
        </w:rPr>
        <w:tab/>
      </w:r>
      <w:r>
        <w:rPr>
          <w:noProof/>
        </w:rPr>
        <w:fldChar w:fldCharType="begin"/>
      </w:r>
      <w:r>
        <w:rPr>
          <w:noProof/>
        </w:rPr>
        <w:instrText xml:space="preserve"> PAGEREF _Toc257278759 \h </w:instrText>
      </w:r>
      <w:r>
        <w:rPr>
          <w:noProof/>
        </w:rPr>
      </w:r>
      <w:r>
        <w:rPr>
          <w:noProof/>
        </w:rPr>
        <w:fldChar w:fldCharType="separate"/>
      </w:r>
      <w:r>
        <w:rPr>
          <w:noProof/>
        </w:rPr>
        <w:t>8</w:t>
      </w:r>
      <w:r>
        <w:rPr>
          <w:noProof/>
        </w:rPr>
        <w:fldChar w:fldCharType="end"/>
      </w:r>
    </w:p>
    <w:p w14:paraId="22349091" w14:textId="77777777" w:rsidR="009179C5" w:rsidRDefault="009179C5">
      <w:pPr>
        <w:pStyle w:val="TOC1"/>
        <w:tabs>
          <w:tab w:val="right" w:leader="dot" w:pos="8630"/>
        </w:tabs>
        <w:rPr>
          <w:noProof/>
        </w:rPr>
      </w:pPr>
      <w:r>
        <w:rPr>
          <w:noProof/>
        </w:rPr>
        <w:t>Introduction</w:t>
      </w:r>
      <w:r>
        <w:rPr>
          <w:noProof/>
        </w:rPr>
        <w:tab/>
      </w:r>
      <w:r>
        <w:rPr>
          <w:noProof/>
        </w:rPr>
        <w:fldChar w:fldCharType="begin"/>
      </w:r>
      <w:r>
        <w:rPr>
          <w:noProof/>
        </w:rPr>
        <w:instrText xml:space="preserve"> PAGEREF _Toc257278760 \h </w:instrText>
      </w:r>
      <w:r>
        <w:rPr>
          <w:noProof/>
        </w:rPr>
      </w:r>
      <w:r>
        <w:rPr>
          <w:noProof/>
        </w:rPr>
        <w:fldChar w:fldCharType="separate"/>
      </w:r>
      <w:r>
        <w:rPr>
          <w:noProof/>
        </w:rPr>
        <w:t>10</w:t>
      </w:r>
      <w:r>
        <w:rPr>
          <w:noProof/>
        </w:rPr>
        <w:fldChar w:fldCharType="end"/>
      </w:r>
    </w:p>
    <w:p w14:paraId="559AD288" w14:textId="77777777" w:rsidR="009179C5" w:rsidRDefault="009179C5">
      <w:pPr>
        <w:pStyle w:val="TOC2"/>
        <w:tabs>
          <w:tab w:val="right" w:leader="dot" w:pos="8630"/>
        </w:tabs>
        <w:rPr>
          <w:noProof/>
        </w:rPr>
      </w:pPr>
      <w:r>
        <w:rPr>
          <w:noProof/>
        </w:rPr>
        <w:t>Background</w:t>
      </w:r>
      <w:r>
        <w:rPr>
          <w:noProof/>
        </w:rPr>
        <w:tab/>
      </w:r>
      <w:r>
        <w:rPr>
          <w:noProof/>
        </w:rPr>
        <w:fldChar w:fldCharType="begin"/>
      </w:r>
      <w:r>
        <w:rPr>
          <w:noProof/>
        </w:rPr>
        <w:instrText xml:space="preserve"> PAGEREF _Toc257278761 \h </w:instrText>
      </w:r>
      <w:r>
        <w:rPr>
          <w:noProof/>
        </w:rPr>
      </w:r>
      <w:r>
        <w:rPr>
          <w:noProof/>
        </w:rPr>
        <w:fldChar w:fldCharType="separate"/>
      </w:r>
      <w:r>
        <w:rPr>
          <w:noProof/>
        </w:rPr>
        <w:t>10</w:t>
      </w:r>
      <w:r>
        <w:rPr>
          <w:noProof/>
        </w:rPr>
        <w:fldChar w:fldCharType="end"/>
      </w:r>
    </w:p>
    <w:p w14:paraId="2F8B8CAA" w14:textId="77777777" w:rsidR="009179C5" w:rsidRDefault="009179C5">
      <w:pPr>
        <w:pStyle w:val="TOC2"/>
        <w:tabs>
          <w:tab w:val="right" w:leader="dot" w:pos="8630"/>
        </w:tabs>
        <w:rPr>
          <w:noProof/>
        </w:rPr>
      </w:pPr>
      <w:r>
        <w:rPr>
          <w:noProof/>
        </w:rPr>
        <w:t>Ocean acidification</w:t>
      </w:r>
      <w:r>
        <w:rPr>
          <w:noProof/>
        </w:rPr>
        <w:tab/>
      </w:r>
      <w:r>
        <w:rPr>
          <w:noProof/>
        </w:rPr>
        <w:fldChar w:fldCharType="begin"/>
      </w:r>
      <w:r>
        <w:rPr>
          <w:noProof/>
        </w:rPr>
        <w:instrText xml:space="preserve"> PAGEREF _Toc257278762 \h </w:instrText>
      </w:r>
      <w:r>
        <w:rPr>
          <w:noProof/>
        </w:rPr>
      </w:r>
      <w:r>
        <w:rPr>
          <w:noProof/>
        </w:rPr>
        <w:fldChar w:fldCharType="separate"/>
      </w:r>
      <w:r>
        <w:rPr>
          <w:noProof/>
        </w:rPr>
        <w:t>11</w:t>
      </w:r>
      <w:r>
        <w:rPr>
          <w:noProof/>
        </w:rPr>
        <w:fldChar w:fldCharType="end"/>
      </w:r>
    </w:p>
    <w:p w14:paraId="17A026C2" w14:textId="77777777" w:rsidR="009179C5" w:rsidRDefault="009179C5">
      <w:pPr>
        <w:pStyle w:val="TOC3"/>
        <w:rPr>
          <w:noProof/>
        </w:rPr>
      </w:pPr>
      <w:r>
        <w:rPr>
          <w:noProof/>
        </w:rPr>
        <w:t>Chemistry</w:t>
      </w:r>
      <w:r>
        <w:rPr>
          <w:noProof/>
        </w:rPr>
        <w:tab/>
      </w:r>
      <w:r>
        <w:rPr>
          <w:noProof/>
        </w:rPr>
        <w:fldChar w:fldCharType="begin"/>
      </w:r>
      <w:r>
        <w:rPr>
          <w:noProof/>
        </w:rPr>
        <w:instrText xml:space="preserve"> PAGEREF _Toc257278763 \h </w:instrText>
      </w:r>
      <w:r>
        <w:rPr>
          <w:noProof/>
        </w:rPr>
      </w:r>
      <w:r>
        <w:rPr>
          <w:noProof/>
        </w:rPr>
        <w:fldChar w:fldCharType="separate"/>
      </w:r>
      <w:r>
        <w:rPr>
          <w:noProof/>
        </w:rPr>
        <w:t>12</w:t>
      </w:r>
      <w:r>
        <w:rPr>
          <w:noProof/>
        </w:rPr>
        <w:fldChar w:fldCharType="end"/>
      </w:r>
    </w:p>
    <w:p w14:paraId="75FBA183" w14:textId="77777777" w:rsidR="009179C5" w:rsidRDefault="009179C5">
      <w:pPr>
        <w:pStyle w:val="TOC3"/>
        <w:rPr>
          <w:noProof/>
        </w:rPr>
      </w:pPr>
      <w:r>
        <w:rPr>
          <w:noProof/>
        </w:rPr>
        <w:t>Nearshore environmental processes</w:t>
      </w:r>
      <w:r>
        <w:rPr>
          <w:noProof/>
        </w:rPr>
        <w:tab/>
      </w:r>
      <w:r>
        <w:rPr>
          <w:noProof/>
        </w:rPr>
        <w:fldChar w:fldCharType="begin"/>
      </w:r>
      <w:r>
        <w:rPr>
          <w:noProof/>
        </w:rPr>
        <w:instrText xml:space="preserve"> PAGEREF _Toc257278764 \h </w:instrText>
      </w:r>
      <w:r>
        <w:rPr>
          <w:noProof/>
        </w:rPr>
      </w:r>
      <w:r>
        <w:rPr>
          <w:noProof/>
        </w:rPr>
        <w:fldChar w:fldCharType="separate"/>
      </w:r>
      <w:r>
        <w:rPr>
          <w:noProof/>
        </w:rPr>
        <w:t>12</w:t>
      </w:r>
      <w:r>
        <w:rPr>
          <w:noProof/>
        </w:rPr>
        <w:fldChar w:fldCharType="end"/>
      </w:r>
    </w:p>
    <w:p w14:paraId="517011E7" w14:textId="77777777" w:rsidR="009179C5" w:rsidRDefault="009179C5">
      <w:pPr>
        <w:pStyle w:val="TOC3"/>
        <w:rPr>
          <w:noProof/>
        </w:rPr>
      </w:pPr>
      <w:r>
        <w:rPr>
          <w:noProof/>
        </w:rPr>
        <w:t>Ocean acidification in Puget Sound</w:t>
      </w:r>
      <w:r>
        <w:rPr>
          <w:noProof/>
        </w:rPr>
        <w:tab/>
      </w:r>
      <w:r>
        <w:rPr>
          <w:noProof/>
        </w:rPr>
        <w:fldChar w:fldCharType="begin"/>
      </w:r>
      <w:r>
        <w:rPr>
          <w:noProof/>
        </w:rPr>
        <w:instrText xml:space="preserve"> PAGEREF _Toc257278765 \h </w:instrText>
      </w:r>
      <w:r>
        <w:rPr>
          <w:noProof/>
        </w:rPr>
      </w:r>
      <w:r>
        <w:rPr>
          <w:noProof/>
        </w:rPr>
        <w:fldChar w:fldCharType="separate"/>
      </w:r>
      <w:r>
        <w:rPr>
          <w:noProof/>
        </w:rPr>
        <w:t>13</w:t>
      </w:r>
      <w:r>
        <w:rPr>
          <w:noProof/>
        </w:rPr>
        <w:fldChar w:fldCharType="end"/>
      </w:r>
    </w:p>
    <w:p w14:paraId="536BB9BC" w14:textId="77777777" w:rsidR="009179C5" w:rsidRDefault="009179C5">
      <w:pPr>
        <w:pStyle w:val="TOC2"/>
        <w:tabs>
          <w:tab w:val="right" w:leader="dot" w:pos="8630"/>
        </w:tabs>
        <w:rPr>
          <w:noProof/>
        </w:rPr>
      </w:pPr>
      <w:r>
        <w:rPr>
          <w:noProof/>
        </w:rPr>
        <w:t>Implications for bivalves</w:t>
      </w:r>
      <w:r>
        <w:rPr>
          <w:noProof/>
        </w:rPr>
        <w:tab/>
      </w:r>
      <w:r>
        <w:rPr>
          <w:noProof/>
        </w:rPr>
        <w:fldChar w:fldCharType="begin"/>
      </w:r>
      <w:r>
        <w:rPr>
          <w:noProof/>
        </w:rPr>
        <w:instrText xml:space="preserve"> PAGEREF _Toc257278766 \h </w:instrText>
      </w:r>
      <w:r>
        <w:rPr>
          <w:noProof/>
        </w:rPr>
      </w:r>
      <w:r>
        <w:rPr>
          <w:noProof/>
        </w:rPr>
        <w:fldChar w:fldCharType="separate"/>
      </w:r>
      <w:r>
        <w:rPr>
          <w:noProof/>
        </w:rPr>
        <w:t>14</w:t>
      </w:r>
      <w:r>
        <w:rPr>
          <w:noProof/>
        </w:rPr>
        <w:fldChar w:fldCharType="end"/>
      </w:r>
    </w:p>
    <w:p w14:paraId="66C153EF" w14:textId="77777777" w:rsidR="009179C5" w:rsidRDefault="009179C5">
      <w:pPr>
        <w:pStyle w:val="TOC2"/>
        <w:tabs>
          <w:tab w:val="right" w:leader="dot" w:pos="8630"/>
        </w:tabs>
        <w:rPr>
          <w:noProof/>
        </w:rPr>
      </w:pPr>
      <w:r>
        <w:rPr>
          <w:noProof/>
        </w:rPr>
        <w:t>Applying Molecular Tools to Study Environmental Change</w:t>
      </w:r>
      <w:r>
        <w:rPr>
          <w:noProof/>
        </w:rPr>
        <w:tab/>
      </w:r>
      <w:r>
        <w:rPr>
          <w:noProof/>
        </w:rPr>
        <w:fldChar w:fldCharType="begin"/>
      </w:r>
      <w:r>
        <w:rPr>
          <w:noProof/>
        </w:rPr>
        <w:instrText xml:space="preserve"> PAGEREF _Toc257278767 \h </w:instrText>
      </w:r>
      <w:r>
        <w:rPr>
          <w:noProof/>
        </w:rPr>
      </w:r>
      <w:r>
        <w:rPr>
          <w:noProof/>
        </w:rPr>
        <w:fldChar w:fldCharType="separate"/>
      </w:r>
      <w:r>
        <w:rPr>
          <w:noProof/>
        </w:rPr>
        <w:t>16</w:t>
      </w:r>
      <w:r>
        <w:rPr>
          <w:noProof/>
        </w:rPr>
        <w:fldChar w:fldCharType="end"/>
      </w:r>
    </w:p>
    <w:p w14:paraId="21BDF495" w14:textId="77777777" w:rsidR="009179C5" w:rsidRDefault="009179C5">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_Toc257278768 \h </w:instrText>
      </w:r>
      <w:r>
        <w:rPr>
          <w:noProof/>
        </w:rPr>
      </w:r>
      <w:r>
        <w:rPr>
          <w:noProof/>
        </w:rPr>
        <w:fldChar w:fldCharType="separate"/>
      </w:r>
      <w:r>
        <w:rPr>
          <w:noProof/>
        </w:rPr>
        <w:t>18</w:t>
      </w:r>
      <w:r>
        <w:rPr>
          <w:noProof/>
        </w:rPr>
        <w:fldChar w:fldCharType="end"/>
      </w:r>
    </w:p>
    <w:p w14:paraId="0F5CBC2B" w14:textId="77777777" w:rsidR="009179C5" w:rsidRDefault="009179C5">
      <w:pPr>
        <w:pStyle w:val="TOC1"/>
        <w:tabs>
          <w:tab w:val="right" w:leader="dot" w:pos="8630"/>
        </w:tabs>
        <w:rPr>
          <w:noProof/>
        </w:rPr>
      </w:pPr>
      <w:r>
        <w:rPr>
          <w:noProof/>
        </w:rPr>
        <w:t xml:space="preserve">Chapter I: Elevated </w:t>
      </w:r>
      <w:r w:rsidRPr="00F239C2">
        <w:rPr>
          <w:i/>
          <w:noProof/>
        </w:rPr>
        <w:t>p</w:t>
      </w:r>
      <w:r>
        <w:rPr>
          <w:noProof/>
        </w:rPr>
        <w:t>CO</w:t>
      </w:r>
      <w:r w:rsidRPr="00F239C2">
        <w:rPr>
          <w:noProof/>
          <w:vertAlign w:val="subscript"/>
        </w:rPr>
        <w:t>2</w:t>
      </w:r>
      <w:r>
        <w:rPr>
          <w:noProof/>
        </w:rPr>
        <w:t xml:space="preserve"> causes developmental delay in early larval Pacific oysters, </w:t>
      </w:r>
      <w:r w:rsidRPr="00F239C2">
        <w:rPr>
          <w:i/>
          <w:noProof/>
        </w:rPr>
        <w:t>Crassostrea gigas</w:t>
      </w:r>
      <w:r>
        <w:rPr>
          <w:noProof/>
        </w:rPr>
        <w:tab/>
      </w:r>
      <w:r>
        <w:rPr>
          <w:noProof/>
        </w:rPr>
        <w:fldChar w:fldCharType="begin"/>
      </w:r>
      <w:r>
        <w:rPr>
          <w:noProof/>
        </w:rPr>
        <w:instrText xml:space="preserve"> PAGEREF _Toc257278769 \h </w:instrText>
      </w:r>
      <w:r>
        <w:rPr>
          <w:noProof/>
        </w:rPr>
      </w:r>
      <w:r>
        <w:rPr>
          <w:noProof/>
        </w:rPr>
        <w:fldChar w:fldCharType="separate"/>
      </w:r>
      <w:r>
        <w:rPr>
          <w:noProof/>
        </w:rPr>
        <w:t>25</w:t>
      </w:r>
      <w:r>
        <w:rPr>
          <w:noProof/>
        </w:rPr>
        <w:fldChar w:fldCharType="end"/>
      </w:r>
    </w:p>
    <w:p w14:paraId="73AB6E66" w14:textId="77777777" w:rsidR="009179C5" w:rsidRDefault="009179C5">
      <w:pPr>
        <w:pStyle w:val="TOC2"/>
        <w:tabs>
          <w:tab w:val="right" w:leader="dot" w:pos="8630"/>
        </w:tabs>
        <w:rPr>
          <w:noProof/>
        </w:rPr>
      </w:pPr>
      <w:r>
        <w:rPr>
          <w:noProof/>
        </w:rPr>
        <w:t>Abstract</w:t>
      </w:r>
      <w:r>
        <w:rPr>
          <w:noProof/>
        </w:rPr>
        <w:tab/>
      </w:r>
      <w:r>
        <w:rPr>
          <w:noProof/>
        </w:rPr>
        <w:fldChar w:fldCharType="begin"/>
      </w:r>
      <w:r>
        <w:rPr>
          <w:noProof/>
        </w:rPr>
        <w:instrText xml:space="preserve"> PAGEREF _Toc257278770 \h </w:instrText>
      </w:r>
      <w:r>
        <w:rPr>
          <w:noProof/>
        </w:rPr>
      </w:r>
      <w:r>
        <w:rPr>
          <w:noProof/>
        </w:rPr>
        <w:fldChar w:fldCharType="separate"/>
      </w:r>
      <w:r>
        <w:rPr>
          <w:noProof/>
        </w:rPr>
        <w:t>25</w:t>
      </w:r>
      <w:r>
        <w:rPr>
          <w:noProof/>
        </w:rPr>
        <w:fldChar w:fldCharType="end"/>
      </w:r>
    </w:p>
    <w:p w14:paraId="12B7226A" w14:textId="77777777" w:rsidR="009179C5" w:rsidRDefault="009179C5">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_Toc257278771 \h </w:instrText>
      </w:r>
      <w:r>
        <w:rPr>
          <w:noProof/>
        </w:rPr>
      </w:r>
      <w:r>
        <w:rPr>
          <w:noProof/>
        </w:rPr>
        <w:fldChar w:fldCharType="separate"/>
      </w:r>
      <w:r>
        <w:rPr>
          <w:noProof/>
        </w:rPr>
        <w:t>25</w:t>
      </w:r>
      <w:r>
        <w:rPr>
          <w:noProof/>
        </w:rPr>
        <w:fldChar w:fldCharType="end"/>
      </w:r>
    </w:p>
    <w:p w14:paraId="16AFEA97" w14:textId="77777777" w:rsidR="009179C5" w:rsidRDefault="009179C5">
      <w:pPr>
        <w:pStyle w:val="TOC2"/>
        <w:tabs>
          <w:tab w:val="right" w:leader="dot" w:pos="8630"/>
        </w:tabs>
        <w:rPr>
          <w:noProof/>
        </w:rPr>
      </w:pPr>
      <w:r>
        <w:rPr>
          <w:noProof/>
        </w:rPr>
        <w:t>Materials and methods</w:t>
      </w:r>
      <w:r>
        <w:rPr>
          <w:noProof/>
        </w:rPr>
        <w:tab/>
      </w:r>
      <w:r>
        <w:rPr>
          <w:noProof/>
        </w:rPr>
        <w:fldChar w:fldCharType="begin"/>
      </w:r>
      <w:r>
        <w:rPr>
          <w:noProof/>
        </w:rPr>
        <w:instrText xml:space="preserve"> PAGEREF _Toc257278772 \h </w:instrText>
      </w:r>
      <w:r>
        <w:rPr>
          <w:noProof/>
        </w:rPr>
      </w:r>
      <w:r>
        <w:rPr>
          <w:noProof/>
        </w:rPr>
        <w:fldChar w:fldCharType="separate"/>
      </w:r>
      <w:r>
        <w:rPr>
          <w:noProof/>
        </w:rPr>
        <w:t>28</w:t>
      </w:r>
      <w:r>
        <w:rPr>
          <w:noProof/>
        </w:rPr>
        <w:fldChar w:fldCharType="end"/>
      </w:r>
    </w:p>
    <w:p w14:paraId="75C77187" w14:textId="77777777" w:rsidR="009179C5" w:rsidRDefault="009179C5">
      <w:pPr>
        <w:pStyle w:val="TOC3"/>
        <w:rPr>
          <w:noProof/>
        </w:rPr>
      </w:pPr>
      <w:r>
        <w:rPr>
          <w:noProof/>
        </w:rPr>
        <w:t>Seawater chemistry manipulation</w:t>
      </w:r>
      <w:r>
        <w:rPr>
          <w:noProof/>
        </w:rPr>
        <w:tab/>
      </w:r>
      <w:r>
        <w:rPr>
          <w:noProof/>
        </w:rPr>
        <w:fldChar w:fldCharType="begin"/>
      </w:r>
      <w:r>
        <w:rPr>
          <w:noProof/>
        </w:rPr>
        <w:instrText xml:space="preserve"> PAGEREF _Toc257278773 \h </w:instrText>
      </w:r>
      <w:r>
        <w:rPr>
          <w:noProof/>
        </w:rPr>
      </w:r>
      <w:r>
        <w:rPr>
          <w:noProof/>
        </w:rPr>
        <w:fldChar w:fldCharType="separate"/>
      </w:r>
      <w:r>
        <w:rPr>
          <w:noProof/>
        </w:rPr>
        <w:t>28</w:t>
      </w:r>
      <w:r>
        <w:rPr>
          <w:noProof/>
        </w:rPr>
        <w:fldChar w:fldCharType="end"/>
      </w:r>
    </w:p>
    <w:p w14:paraId="7F5B3D9A" w14:textId="77777777" w:rsidR="009179C5" w:rsidRDefault="009179C5">
      <w:pPr>
        <w:pStyle w:val="TOC3"/>
        <w:rPr>
          <w:noProof/>
        </w:rPr>
      </w:pPr>
      <w:r>
        <w:rPr>
          <w:noProof/>
        </w:rPr>
        <w:t>Oysters</w:t>
      </w:r>
      <w:r>
        <w:rPr>
          <w:noProof/>
        </w:rPr>
        <w:tab/>
      </w:r>
      <w:r>
        <w:rPr>
          <w:noProof/>
        </w:rPr>
        <w:fldChar w:fldCharType="begin"/>
      </w:r>
      <w:r>
        <w:rPr>
          <w:noProof/>
        </w:rPr>
        <w:instrText xml:space="preserve"> PAGEREF _Toc257278774 \h </w:instrText>
      </w:r>
      <w:r>
        <w:rPr>
          <w:noProof/>
        </w:rPr>
      </w:r>
      <w:r>
        <w:rPr>
          <w:noProof/>
        </w:rPr>
        <w:fldChar w:fldCharType="separate"/>
      </w:r>
      <w:r>
        <w:rPr>
          <w:noProof/>
        </w:rPr>
        <w:t>29</w:t>
      </w:r>
      <w:r>
        <w:rPr>
          <w:noProof/>
        </w:rPr>
        <w:fldChar w:fldCharType="end"/>
      </w:r>
    </w:p>
    <w:p w14:paraId="6A573CFF" w14:textId="77777777" w:rsidR="009179C5" w:rsidRDefault="009179C5">
      <w:pPr>
        <w:pStyle w:val="TOC3"/>
        <w:rPr>
          <w:noProof/>
        </w:rPr>
      </w:pPr>
      <w:r>
        <w:rPr>
          <w:noProof/>
        </w:rPr>
        <w:t>Carbonate chemistry</w:t>
      </w:r>
      <w:r>
        <w:rPr>
          <w:noProof/>
        </w:rPr>
        <w:tab/>
      </w:r>
      <w:r>
        <w:rPr>
          <w:noProof/>
        </w:rPr>
        <w:fldChar w:fldCharType="begin"/>
      </w:r>
      <w:r>
        <w:rPr>
          <w:noProof/>
        </w:rPr>
        <w:instrText xml:space="preserve"> PAGEREF _Toc257278775 \h </w:instrText>
      </w:r>
      <w:r>
        <w:rPr>
          <w:noProof/>
        </w:rPr>
      </w:r>
      <w:r>
        <w:rPr>
          <w:noProof/>
        </w:rPr>
        <w:fldChar w:fldCharType="separate"/>
      </w:r>
      <w:r>
        <w:rPr>
          <w:noProof/>
        </w:rPr>
        <w:t>30</w:t>
      </w:r>
      <w:r>
        <w:rPr>
          <w:noProof/>
        </w:rPr>
        <w:fldChar w:fldCharType="end"/>
      </w:r>
    </w:p>
    <w:p w14:paraId="2FCBECD0" w14:textId="77777777" w:rsidR="009179C5" w:rsidRDefault="009179C5">
      <w:pPr>
        <w:pStyle w:val="TOC3"/>
        <w:rPr>
          <w:noProof/>
        </w:rPr>
      </w:pPr>
      <w:r>
        <w:rPr>
          <w:noProof/>
        </w:rPr>
        <w:t>Statistics</w:t>
      </w:r>
      <w:r>
        <w:rPr>
          <w:noProof/>
        </w:rPr>
        <w:tab/>
      </w:r>
      <w:r>
        <w:rPr>
          <w:noProof/>
        </w:rPr>
        <w:fldChar w:fldCharType="begin"/>
      </w:r>
      <w:r>
        <w:rPr>
          <w:noProof/>
        </w:rPr>
        <w:instrText xml:space="preserve"> PAGEREF _Toc257278776 \h </w:instrText>
      </w:r>
      <w:r>
        <w:rPr>
          <w:noProof/>
        </w:rPr>
      </w:r>
      <w:r>
        <w:rPr>
          <w:noProof/>
        </w:rPr>
        <w:fldChar w:fldCharType="separate"/>
      </w:r>
      <w:r>
        <w:rPr>
          <w:noProof/>
        </w:rPr>
        <w:t>31</w:t>
      </w:r>
      <w:r>
        <w:rPr>
          <w:noProof/>
        </w:rPr>
        <w:fldChar w:fldCharType="end"/>
      </w:r>
    </w:p>
    <w:p w14:paraId="3D48A9CD" w14:textId="77777777" w:rsidR="009179C5" w:rsidRDefault="009179C5">
      <w:pPr>
        <w:pStyle w:val="TOC2"/>
        <w:tabs>
          <w:tab w:val="right" w:leader="dot" w:pos="8630"/>
        </w:tabs>
        <w:rPr>
          <w:noProof/>
        </w:rPr>
      </w:pPr>
      <w:r>
        <w:rPr>
          <w:noProof/>
        </w:rPr>
        <w:t>Results</w:t>
      </w:r>
      <w:r>
        <w:rPr>
          <w:noProof/>
        </w:rPr>
        <w:tab/>
      </w:r>
      <w:r>
        <w:rPr>
          <w:noProof/>
        </w:rPr>
        <w:fldChar w:fldCharType="begin"/>
      </w:r>
      <w:r>
        <w:rPr>
          <w:noProof/>
        </w:rPr>
        <w:instrText xml:space="preserve"> PAGEREF _Toc257278777 \h </w:instrText>
      </w:r>
      <w:r>
        <w:rPr>
          <w:noProof/>
        </w:rPr>
      </w:r>
      <w:r>
        <w:rPr>
          <w:noProof/>
        </w:rPr>
        <w:fldChar w:fldCharType="separate"/>
      </w:r>
      <w:r>
        <w:rPr>
          <w:noProof/>
        </w:rPr>
        <w:t>31</w:t>
      </w:r>
      <w:r>
        <w:rPr>
          <w:noProof/>
        </w:rPr>
        <w:fldChar w:fldCharType="end"/>
      </w:r>
    </w:p>
    <w:p w14:paraId="27A6E6D4" w14:textId="77777777" w:rsidR="009179C5" w:rsidRDefault="009179C5">
      <w:pPr>
        <w:pStyle w:val="TOC3"/>
        <w:rPr>
          <w:noProof/>
        </w:rPr>
      </w:pPr>
      <w:r>
        <w:rPr>
          <w:noProof/>
        </w:rPr>
        <w:t>Carbonate chemistry</w:t>
      </w:r>
      <w:r>
        <w:rPr>
          <w:noProof/>
        </w:rPr>
        <w:tab/>
      </w:r>
      <w:r>
        <w:rPr>
          <w:noProof/>
        </w:rPr>
        <w:fldChar w:fldCharType="begin"/>
      </w:r>
      <w:r>
        <w:rPr>
          <w:noProof/>
        </w:rPr>
        <w:instrText xml:space="preserve"> PAGEREF _Toc257278778 \h </w:instrText>
      </w:r>
      <w:r>
        <w:rPr>
          <w:noProof/>
        </w:rPr>
      </w:r>
      <w:r>
        <w:rPr>
          <w:noProof/>
        </w:rPr>
        <w:fldChar w:fldCharType="separate"/>
      </w:r>
      <w:r>
        <w:rPr>
          <w:noProof/>
        </w:rPr>
        <w:t>31</w:t>
      </w:r>
      <w:r>
        <w:rPr>
          <w:noProof/>
        </w:rPr>
        <w:fldChar w:fldCharType="end"/>
      </w:r>
    </w:p>
    <w:p w14:paraId="48F22630" w14:textId="77777777" w:rsidR="009179C5" w:rsidRDefault="009179C5">
      <w:pPr>
        <w:pStyle w:val="TOC3"/>
        <w:rPr>
          <w:noProof/>
        </w:rPr>
      </w:pPr>
      <w:r>
        <w:rPr>
          <w:noProof/>
        </w:rPr>
        <w:t>Size, development, and calcification</w:t>
      </w:r>
      <w:r>
        <w:rPr>
          <w:noProof/>
        </w:rPr>
        <w:tab/>
      </w:r>
      <w:r>
        <w:rPr>
          <w:noProof/>
        </w:rPr>
        <w:fldChar w:fldCharType="begin"/>
      </w:r>
      <w:r>
        <w:rPr>
          <w:noProof/>
        </w:rPr>
        <w:instrText xml:space="preserve"> PAGEREF _Toc257278779 \h </w:instrText>
      </w:r>
      <w:r>
        <w:rPr>
          <w:noProof/>
        </w:rPr>
      </w:r>
      <w:r>
        <w:rPr>
          <w:noProof/>
        </w:rPr>
        <w:fldChar w:fldCharType="separate"/>
      </w:r>
      <w:r>
        <w:rPr>
          <w:noProof/>
        </w:rPr>
        <w:t>32</w:t>
      </w:r>
      <w:r>
        <w:rPr>
          <w:noProof/>
        </w:rPr>
        <w:fldChar w:fldCharType="end"/>
      </w:r>
    </w:p>
    <w:p w14:paraId="0CAFCABE" w14:textId="77777777" w:rsidR="009179C5" w:rsidRDefault="009179C5">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_Toc257278780 \h </w:instrText>
      </w:r>
      <w:r>
        <w:rPr>
          <w:noProof/>
        </w:rPr>
      </w:r>
      <w:r>
        <w:rPr>
          <w:noProof/>
        </w:rPr>
        <w:fldChar w:fldCharType="separate"/>
      </w:r>
      <w:r>
        <w:rPr>
          <w:noProof/>
        </w:rPr>
        <w:t>33</w:t>
      </w:r>
      <w:r>
        <w:rPr>
          <w:noProof/>
        </w:rPr>
        <w:fldChar w:fldCharType="end"/>
      </w:r>
    </w:p>
    <w:p w14:paraId="4F01A38E" w14:textId="77777777" w:rsidR="009179C5" w:rsidRDefault="009179C5">
      <w:pPr>
        <w:pStyle w:val="TOC2"/>
        <w:tabs>
          <w:tab w:val="right" w:leader="dot" w:pos="8630"/>
        </w:tabs>
        <w:rPr>
          <w:noProof/>
        </w:rPr>
      </w:pPr>
      <w:r>
        <w:rPr>
          <w:noProof/>
        </w:rPr>
        <w:t>Conclusions</w:t>
      </w:r>
      <w:r>
        <w:rPr>
          <w:noProof/>
        </w:rPr>
        <w:tab/>
      </w:r>
      <w:r>
        <w:rPr>
          <w:noProof/>
        </w:rPr>
        <w:fldChar w:fldCharType="begin"/>
      </w:r>
      <w:r>
        <w:rPr>
          <w:noProof/>
        </w:rPr>
        <w:instrText xml:space="preserve"> PAGEREF _Toc257278781 \h </w:instrText>
      </w:r>
      <w:r>
        <w:rPr>
          <w:noProof/>
        </w:rPr>
      </w:r>
      <w:r>
        <w:rPr>
          <w:noProof/>
        </w:rPr>
        <w:fldChar w:fldCharType="separate"/>
      </w:r>
      <w:r>
        <w:rPr>
          <w:noProof/>
        </w:rPr>
        <w:t>36</w:t>
      </w:r>
      <w:r>
        <w:rPr>
          <w:noProof/>
        </w:rPr>
        <w:fldChar w:fldCharType="end"/>
      </w:r>
    </w:p>
    <w:p w14:paraId="0CEC51D6" w14:textId="77777777" w:rsidR="009179C5" w:rsidRDefault="009179C5">
      <w:pPr>
        <w:pStyle w:val="TOC2"/>
        <w:tabs>
          <w:tab w:val="right" w:leader="dot" w:pos="8630"/>
        </w:tabs>
        <w:rPr>
          <w:noProof/>
        </w:rPr>
      </w:pPr>
      <w:r>
        <w:rPr>
          <w:noProof/>
        </w:rPr>
        <w:t>Tables</w:t>
      </w:r>
      <w:r>
        <w:rPr>
          <w:noProof/>
        </w:rPr>
        <w:tab/>
      </w:r>
      <w:r>
        <w:rPr>
          <w:noProof/>
        </w:rPr>
        <w:fldChar w:fldCharType="begin"/>
      </w:r>
      <w:r>
        <w:rPr>
          <w:noProof/>
        </w:rPr>
        <w:instrText xml:space="preserve"> PAGEREF _Toc257278782 \h </w:instrText>
      </w:r>
      <w:r>
        <w:rPr>
          <w:noProof/>
        </w:rPr>
      </w:r>
      <w:r>
        <w:rPr>
          <w:noProof/>
        </w:rPr>
        <w:fldChar w:fldCharType="separate"/>
      </w:r>
      <w:r>
        <w:rPr>
          <w:noProof/>
        </w:rPr>
        <w:t>36</w:t>
      </w:r>
      <w:r>
        <w:rPr>
          <w:noProof/>
        </w:rPr>
        <w:fldChar w:fldCharType="end"/>
      </w:r>
    </w:p>
    <w:p w14:paraId="610C2AA6" w14:textId="77777777" w:rsidR="009179C5" w:rsidRDefault="009179C5">
      <w:pPr>
        <w:pStyle w:val="TOC2"/>
        <w:tabs>
          <w:tab w:val="right" w:leader="dot" w:pos="8630"/>
        </w:tabs>
        <w:rPr>
          <w:noProof/>
        </w:rPr>
      </w:pPr>
      <w:r>
        <w:rPr>
          <w:noProof/>
        </w:rPr>
        <w:t>Figures</w:t>
      </w:r>
      <w:r>
        <w:rPr>
          <w:noProof/>
        </w:rPr>
        <w:tab/>
      </w:r>
      <w:r>
        <w:rPr>
          <w:noProof/>
        </w:rPr>
        <w:fldChar w:fldCharType="begin"/>
      </w:r>
      <w:r>
        <w:rPr>
          <w:noProof/>
        </w:rPr>
        <w:instrText xml:space="preserve"> PAGEREF _Toc257278783 \h </w:instrText>
      </w:r>
      <w:r>
        <w:rPr>
          <w:noProof/>
        </w:rPr>
      </w:r>
      <w:r>
        <w:rPr>
          <w:noProof/>
        </w:rPr>
        <w:fldChar w:fldCharType="separate"/>
      </w:r>
      <w:r>
        <w:rPr>
          <w:noProof/>
        </w:rPr>
        <w:t>38</w:t>
      </w:r>
      <w:r>
        <w:rPr>
          <w:noProof/>
        </w:rPr>
        <w:fldChar w:fldCharType="end"/>
      </w:r>
    </w:p>
    <w:p w14:paraId="2ACD0D14" w14:textId="77777777" w:rsidR="009179C5" w:rsidRDefault="009179C5">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_Toc257278784 \h </w:instrText>
      </w:r>
      <w:r>
        <w:rPr>
          <w:noProof/>
        </w:rPr>
      </w:r>
      <w:r>
        <w:rPr>
          <w:noProof/>
        </w:rPr>
        <w:fldChar w:fldCharType="separate"/>
      </w:r>
      <w:r>
        <w:rPr>
          <w:noProof/>
        </w:rPr>
        <w:t>42</w:t>
      </w:r>
      <w:r>
        <w:rPr>
          <w:noProof/>
        </w:rPr>
        <w:fldChar w:fldCharType="end"/>
      </w:r>
    </w:p>
    <w:p w14:paraId="177B8BE3" w14:textId="77777777" w:rsidR="009179C5" w:rsidRDefault="009179C5">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_Toc257278785 \h </w:instrText>
      </w:r>
      <w:r>
        <w:rPr>
          <w:noProof/>
        </w:rPr>
      </w:r>
      <w:r>
        <w:rPr>
          <w:noProof/>
        </w:rPr>
        <w:fldChar w:fldCharType="separate"/>
      </w:r>
      <w:r>
        <w:rPr>
          <w:noProof/>
        </w:rPr>
        <w:t>43</w:t>
      </w:r>
      <w:r>
        <w:rPr>
          <w:noProof/>
        </w:rPr>
        <w:fldChar w:fldCharType="end"/>
      </w:r>
    </w:p>
    <w:p w14:paraId="79B25236" w14:textId="77777777" w:rsidR="009179C5" w:rsidRDefault="009179C5">
      <w:pPr>
        <w:pStyle w:val="TOC1"/>
        <w:tabs>
          <w:tab w:val="right" w:leader="dot" w:pos="8630"/>
        </w:tabs>
        <w:rPr>
          <w:noProof/>
        </w:rPr>
      </w:pPr>
      <w:r>
        <w:rPr>
          <w:noProof/>
        </w:rPr>
        <w:t>Chapter II:  Shotgun proteomics as a viable approach for biological discovery in the Pacific oyster</w:t>
      </w:r>
      <w:r>
        <w:rPr>
          <w:noProof/>
        </w:rPr>
        <w:tab/>
      </w:r>
      <w:r>
        <w:rPr>
          <w:noProof/>
        </w:rPr>
        <w:fldChar w:fldCharType="begin"/>
      </w:r>
      <w:r>
        <w:rPr>
          <w:noProof/>
        </w:rPr>
        <w:instrText xml:space="preserve"> PAGEREF _Toc257278786 \h </w:instrText>
      </w:r>
      <w:r>
        <w:rPr>
          <w:noProof/>
        </w:rPr>
      </w:r>
      <w:r>
        <w:rPr>
          <w:noProof/>
        </w:rPr>
        <w:fldChar w:fldCharType="separate"/>
      </w:r>
      <w:r>
        <w:rPr>
          <w:noProof/>
        </w:rPr>
        <w:t>47</w:t>
      </w:r>
      <w:r>
        <w:rPr>
          <w:noProof/>
        </w:rPr>
        <w:fldChar w:fldCharType="end"/>
      </w:r>
    </w:p>
    <w:p w14:paraId="4908DE26" w14:textId="77777777" w:rsidR="009179C5" w:rsidRDefault="009179C5">
      <w:pPr>
        <w:pStyle w:val="TOC2"/>
        <w:tabs>
          <w:tab w:val="right" w:leader="dot" w:pos="8630"/>
        </w:tabs>
        <w:rPr>
          <w:noProof/>
        </w:rPr>
      </w:pPr>
      <w:r>
        <w:rPr>
          <w:noProof/>
        </w:rPr>
        <w:t>Abstract</w:t>
      </w:r>
      <w:r>
        <w:rPr>
          <w:noProof/>
        </w:rPr>
        <w:tab/>
      </w:r>
      <w:r>
        <w:rPr>
          <w:noProof/>
        </w:rPr>
        <w:fldChar w:fldCharType="begin"/>
      </w:r>
      <w:r>
        <w:rPr>
          <w:noProof/>
        </w:rPr>
        <w:instrText xml:space="preserve"> PAGEREF _Toc257278787 \h </w:instrText>
      </w:r>
      <w:r>
        <w:rPr>
          <w:noProof/>
        </w:rPr>
      </w:r>
      <w:r>
        <w:rPr>
          <w:noProof/>
        </w:rPr>
        <w:fldChar w:fldCharType="separate"/>
      </w:r>
      <w:r>
        <w:rPr>
          <w:noProof/>
        </w:rPr>
        <w:t>47</w:t>
      </w:r>
      <w:r>
        <w:rPr>
          <w:noProof/>
        </w:rPr>
        <w:fldChar w:fldCharType="end"/>
      </w:r>
    </w:p>
    <w:p w14:paraId="743F2D72" w14:textId="77777777" w:rsidR="009179C5" w:rsidRDefault="009179C5">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_Toc257278788 \h </w:instrText>
      </w:r>
      <w:r>
        <w:rPr>
          <w:noProof/>
        </w:rPr>
      </w:r>
      <w:r>
        <w:rPr>
          <w:noProof/>
        </w:rPr>
        <w:fldChar w:fldCharType="separate"/>
      </w:r>
      <w:r>
        <w:rPr>
          <w:noProof/>
        </w:rPr>
        <w:t>47</w:t>
      </w:r>
      <w:r>
        <w:rPr>
          <w:noProof/>
        </w:rPr>
        <w:fldChar w:fldCharType="end"/>
      </w:r>
    </w:p>
    <w:p w14:paraId="36BF5FDB" w14:textId="77777777" w:rsidR="009179C5" w:rsidRDefault="009179C5">
      <w:pPr>
        <w:pStyle w:val="TOC2"/>
        <w:tabs>
          <w:tab w:val="right" w:leader="dot" w:pos="8630"/>
        </w:tabs>
        <w:rPr>
          <w:noProof/>
        </w:rPr>
      </w:pPr>
      <w:r>
        <w:rPr>
          <w:noProof/>
        </w:rPr>
        <w:t>Methods</w:t>
      </w:r>
      <w:r>
        <w:rPr>
          <w:noProof/>
        </w:rPr>
        <w:tab/>
      </w:r>
      <w:r>
        <w:rPr>
          <w:noProof/>
        </w:rPr>
        <w:fldChar w:fldCharType="begin"/>
      </w:r>
      <w:r>
        <w:rPr>
          <w:noProof/>
        </w:rPr>
        <w:instrText xml:space="preserve"> PAGEREF _Toc257278789 \h </w:instrText>
      </w:r>
      <w:r>
        <w:rPr>
          <w:noProof/>
        </w:rPr>
      </w:r>
      <w:r>
        <w:rPr>
          <w:noProof/>
        </w:rPr>
        <w:fldChar w:fldCharType="separate"/>
      </w:r>
      <w:r>
        <w:rPr>
          <w:noProof/>
        </w:rPr>
        <w:t>50</w:t>
      </w:r>
      <w:r>
        <w:rPr>
          <w:noProof/>
        </w:rPr>
        <w:fldChar w:fldCharType="end"/>
      </w:r>
    </w:p>
    <w:p w14:paraId="66CD2EB2" w14:textId="77777777" w:rsidR="009179C5" w:rsidRDefault="009179C5">
      <w:pPr>
        <w:pStyle w:val="TOC3"/>
        <w:rPr>
          <w:noProof/>
        </w:rPr>
      </w:pPr>
      <w:r>
        <w:rPr>
          <w:noProof/>
        </w:rPr>
        <w:t>Oysters</w:t>
      </w:r>
      <w:r>
        <w:rPr>
          <w:noProof/>
        </w:rPr>
        <w:tab/>
      </w:r>
      <w:r>
        <w:rPr>
          <w:noProof/>
        </w:rPr>
        <w:fldChar w:fldCharType="begin"/>
      </w:r>
      <w:r>
        <w:rPr>
          <w:noProof/>
        </w:rPr>
        <w:instrText xml:space="preserve"> PAGEREF _Toc257278790 \h </w:instrText>
      </w:r>
      <w:r>
        <w:rPr>
          <w:noProof/>
        </w:rPr>
      </w:r>
      <w:r>
        <w:rPr>
          <w:noProof/>
        </w:rPr>
        <w:fldChar w:fldCharType="separate"/>
      </w:r>
      <w:r>
        <w:rPr>
          <w:noProof/>
        </w:rPr>
        <w:t>50</w:t>
      </w:r>
      <w:r>
        <w:rPr>
          <w:noProof/>
        </w:rPr>
        <w:fldChar w:fldCharType="end"/>
      </w:r>
    </w:p>
    <w:p w14:paraId="68855035" w14:textId="77777777" w:rsidR="009179C5" w:rsidRDefault="009179C5">
      <w:pPr>
        <w:pStyle w:val="TOC3"/>
        <w:rPr>
          <w:noProof/>
        </w:rPr>
      </w:pPr>
      <w:r>
        <w:rPr>
          <w:noProof/>
        </w:rPr>
        <w:t>Protein digestion and desalting</w:t>
      </w:r>
      <w:r>
        <w:rPr>
          <w:noProof/>
        </w:rPr>
        <w:tab/>
      </w:r>
      <w:r>
        <w:rPr>
          <w:noProof/>
        </w:rPr>
        <w:fldChar w:fldCharType="begin"/>
      </w:r>
      <w:r>
        <w:rPr>
          <w:noProof/>
        </w:rPr>
        <w:instrText xml:space="preserve"> PAGEREF _Toc257278791 \h </w:instrText>
      </w:r>
      <w:r>
        <w:rPr>
          <w:noProof/>
        </w:rPr>
      </w:r>
      <w:r>
        <w:rPr>
          <w:noProof/>
        </w:rPr>
        <w:fldChar w:fldCharType="separate"/>
      </w:r>
      <w:r>
        <w:rPr>
          <w:noProof/>
        </w:rPr>
        <w:t>50</w:t>
      </w:r>
      <w:r>
        <w:rPr>
          <w:noProof/>
        </w:rPr>
        <w:fldChar w:fldCharType="end"/>
      </w:r>
    </w:p>
    <w:p w14:paraId="5D62F085" w14:textId="77777777" w:rsidR="009179C5" w:rsidRDefault="009179C5">
      <w:pPr>
        <w:pStyle w:val="TOC3"/>
        <w:rPr>
          <w:noProof/>
        </w:rPr>
      </w:pPr>
      <w:r>
        <w:rPr>
          <w:noProof/>
        </w:rPr>
        <w:t>Liquid chromatography and tandem mass spectrometry</w:t>
      </w:r>
      <w:r>
        <w:rPr>
          <w:noProof/>
        </w:rPr>
        <w:tab/>
      </w:r>
      <w:r>
        <w:rPr>
          <w:noProof/>
        </w:rPr>
        <w:fldChar w:fldCharType="begin"/>
      </w:r>
      <w:r>
        <w:rPr>
          <w:noProof/>
        </w:rPr>
        <w:instrText xml:space="preserve"> PAGEREF _Toc257278792 \h </w:instrText>
      </w:r>
      <w:r>
        <w:rPr>
          <w:noProof/>
        </w:rPr>
      </w:r>
      <w:r>
        <w:rPr>
          <w:noProof/>
        </w:rPr>
        <w:fldChar w:fldCharType="separate"/>
      </w:r>
      <w:r>
        <w:rPr>
          <w:noProof/>
        </w:rPr>
        <w:t>51</w:t>
      </w:r>
      <w:r>
        <w:rPr>
          <w:noProof/>
        </w:rPr>
        <w:fldChar w:fldCharType="end"/>
      </w:r>
    </w:p>
    <w:p w14:paraId="37B21467" w14:textId="77777777" w:rsidR="009179C5" w:rsidRDefault="009179C5">
      <w:pPr>
        <w:pStyle w:val="TOC3"/>
        <w:rPr>
          <w:noProof/>
        </w:rPr>
      </w:pPr>
      <w:r>
        <w:rPr>
          <w:noProof/>
        </w:rPr>
        <w:t>Data acquisition</w:t>
      </w:r>
      <w:r>
        <w:rPr>
          <w:noProof/>
        </w:rPr>
        <w:tab/>
      </w:r>
      <w:r>
        <w:rPr>
          <w:noProof/>
        </w:rPr>
        <w:fldChar w:fldCharType="begin"/>
      </w:r>
      <w:r>
        <w:rPr>
          <w:noProof/>
        </w:rPr>
        <w:instrText xml:space="preserve"> PAGEREF _Toc257278793 \h </w:instrText>
      </w:r>
      <w:r>
        <w:rPr>
          <w:noProof/>
        </w:rPr>
      </w:r>
      <w:r>
        <w:rPr>
          <w:noProof/>
        </w:rPr>
        <w:fldChar w:fldCharType="separate"/>
      </w:r>
      <w:r>
        <w:rPr>
          <w:noProof/>
        </w:rPr>
        <w:t>52</w:t>
      </w:r>
      <w:r>
        <w:rPr>
          <w:noProof/>
        </w:rPr>
        <w:fldChar w:fldCharType="end"/>
      </w:r>
    </w:p>
    <w:p w14:paraId="45C59772" w14:textId="77777777" w:rsidR="009179C5" w:rsidRDefault="009179C5">
      <w:pPr>
        <w:pStyle w:val="TOC3"/>
        <w:rPr>
          <w:noProof/>
        </w:rPr>
      </w:pPr>
      <w:r>
        <w:rPr>
          <w:noProof/>
        </w:rPr>
        <w:t>Protein identification and data analysis</w:t>
      </w:r>
      <w:r>
        <w:rPr>
          <w:noProof/>
        </w:rPr>
        <w:tab/>
      </w:r>
      <w:r>
        <w:rPr>
          <w:noProof/>
        </w:rPr>
        <w:fldChar w:fldCharType="begin"/>
      </w:r>
      <w:r>
        <w:rPr>
          <w:noProof/>
        </w:rPr>
        <w:instrText xml:space="preserve"> PAGEREF _Toc257278794 \h </w:instrText>
      </w:r>
      <w:r>
        <w:rPr>
          <w:noProof/>
        </w:rPr>
      </w:r>
      <w:r>
        <w:rPr>
          <w:noProof/>
        </w:rPr>
        <w:fldChar w:fldCharType="separate"/>
      </w:r>
      <w:r>
        <w:rPr>
          <w:noProof/>
        </w:rPr>
        <w:t>52</w:t>
      </w:r>
      <w:r>
        <w:rPr>
          <w:noProof/>
        </w:rPr>
        <w:fldChar w:fldCharType="end"/>
      </w:r>
    </w:p>
    <w:p w14:paraId="484FDD0F" w14:textId="77777777" w:rsidR="009179C5" w:rsidRDefault="009179C5">
      <w:pPr>
        <w:pStyle w:val="TOC2"/>
        <w:tabs>
          <w:tab w:val="right" w:leader="dot" w:pos="8630"/>
        </w:tabs>
        <w:rPr>
          <w:noProof/>
        </w:rPr>
      </w:pPr>
      <w:r>
        <w:rPr>
          <w:noProof/>
        </w:rPr>
        <w:t>Results</w:t>
      </w:r>
      <w:r>
        <w:rPr>
          <w:noProof/>
        </w:rPr>
        <w:tab/>
      </w:r>
      <w:r>
        <w:rPr>
          <w:noProof/>
        </w:rPr>
        <w:fldChar w:fldCharType="begin"/>
      </w:r>
      <w:r>
        <w:rPr>
          <w:noProof/>
        </w:rPr>
        <w:instrText xml:space="preserve"> PAGEREF _Toc257278795 \h </w:instrText>
      </w:r>
      <w:r>
        <w:rPr>
          <w:noProof/>
        </w:rPr>
      </w:r>
      <w:r>
        <w:rPr>
          <w:noProof/>
        </w:rPr>
        <w:fldChar w:fldCharType="separate"/>
      </w:r>
      <w:r>
        <w:rPr>
          <w:noProof/>
        </w:rPr>
        <w:t>54</w:t>
      </w:r>
      <w:r>
        <w:rPr>
          <w:noProof/>
        </w:rPr>
        <w:fldChar w:fldCharType="end"/>
      </w:r>
    </w:p>
    <w:p w14:paraId="3AE070D3" w14:textId="77777777" w:rsidR="009179C5" w:rsidRDefault="009179C5">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_Toc257278796 \h </w:instrText>
      </w:r>
      <w:r>
        <w:rPr>
          <w:noProof/>
        </w:rPr>
      </w:r>
      <w:r>
        <w:rPr>
          <w:noProof/>
        </w:rPr>
        <w:fldChar w:fldCharType="separate"/>
      </w:r>
      <w:r>
        <w:rPr>
          <w:noProof/>
        </w:rPr>
        <w:t>55</w:t>
      </w:r>
      <w:r>
        <w:rPr>
          <w:noProof/>
        </w:rPr>
        <w:fldChar w:fldCharType="end"/>
      </w:r>
    </w:p>
    <w:p w14:paraId="4F552977" w14:textId="77777777" w:rsidR="009179C5" w:rsidRDefault="009179C5">
      <w:pPr>
        <w:pStyle w:val="TOC2"/>
        <w:tabs>
          <w:tab w:val="right" w:leader="dot" w:pos="8630"/>
        </w:tabs>
        <w:rPr>
          <w:noProof/>
        </w:rPr>
      </w:pPr>
      <w:r>
        <w:rPr>
          <w:noProof/>
        </w:rPr>
        <w:t>Tables</w:t>
      </w:r>
      <w:r>
        <w:rPr>
          <w:noProof/>
        </w:rPr>
        <w:tab/>
      </w:r>
      <w:r>
        <w:rPr>
          <w:noProof/>
        </w:rPr>
        <w:fldChar w:fldCharType="begin"/>
      </w:r>
      <w:r>
        <w:rPr>
          <w:noProof/>
        </w:rPr>
        <w:instrText xml:space="preserve"> PAGEREF _Toc257278797 \h </w:instrText>
      </w:r>
      <w:r>
        <w:rPr>
          <w:noProof/>
        </w:rPr>
      </w:r>
      <w:r>
        <w:rPr>
          <w:noProof/>
        </w:rPr>
        <w:fldChar w:fldCharType="separate"/>
      </w:r>
      <w:r>
        <w:rPr>
          <w:noProof/>
        </w:rPr>
        <w:t>59</w:t>
      </w:r>
      <w:r>
        <w:rPr>
          <w:noProof/>
        </w:rPr>
        <w:fldChar w:fldCharType="end"/>
      </w:r>
    </w:p>
    <w:p w14:paraId="112499C4" w14:textId="77777777" w:rsidR="009179C5" w:rsidRDefault="009179C5">
      <w:pPr>
        <w:pStyle w:val="TOC2"/>
        <w:tabs>
          <w:tab w:val="right" w:leader="dot" w:pos="8630"/>
        </w:tabs>
        <w:rPr>
          <w:noProof/>
        </w:rPr>
      </w:pPr>
      <w:r>
        <w:rPr>
          <w:noProof/>
        </w:rPr>
        <w:t>Figures</w:t>
      </w:r>
      <w:r>
        <w:rPr>
          <w:noProof/>
        </w:rPr>
        <w:tab/>
      </w:r>
      <w:r>
        <w:rPr>
          <w:noProof/>
        </w:rPr>
        <w:fldChar w:fldCharType="begin"/>
      </w:r>
      <w:r>
        <w:rPr>
          <w:noProof/>
        </w:rPr>
        <w:instrText xml:space="preserve"> PAGEREF _Toc257278798 \h </w:instrText>
      </w:r>
      <w:r>
        <w:rPr>
          <w:noProof/>
        </w:rPr>
      </w:r>
      <w:r>
        <w:rPr>
          <w:noProof/>
        </w:rPr>
        <w:fldChar w:fldCharType="separate"/>
      </w:r>
      <w:r>
        <w:rPr>
          <w:noProof/>
        </w:rPr>
        <w:t>60</w:t>
      </w:r>
      <w:r>
        <w:rPr>
          <w:noProof/>
        </w:rPr>
        <w:fldChar w:fldCharType="end"/>
      </w:r>
    </w:p>
    <w:p w14:paraId="442BBE62" w14:textId="77777777" w:rsidR="009179C5" w:rsidRDefault="009179C5">
      <w:pPr>
        <w:pStyle w:val="TOC2"/>
        <w:tabs>
          <w:tab w:val="right" w:leader="dot" w:pos="8630"/>
        </w:tabs>
        <w:rPr>
          <w:noProof/>
        </w:rPr>
      </w:pPr>
      <w:r>
        <w:rPr>
          <w:noProof/>
        </w:rPr>
        <w:t>Supplementary Information</w:t>
      </w:r>
      <w:r>
        <w:rPr>
          <w:noProof/>
        </w:rPr>
        <w:tab/>
      </w:r>
      <w:r>
        <w:rPr>
          <w:noProof/>
        </w:rPr>
        <w:fldChar w:fldCharType="begin"/>
      </w:r>
      <w:r>
        <w:rPr>
          <w:noProof/>
        </w:rPr>
        <w:instrText xml:space="preserve"> PAGEREF _Toc257278799 \h </w:instrText>
      </w:r>
      <w:r>
        <w:rPr>
          <w:noProof/>
        </w:rPr>
      </w:r>
      <w:r>
        <w:rPr>
          <w:noProof/>
        </w:rPr>
        <w:fldChar w:fldCharType="separate"/>
      </w:r>
      <w:r>
        <w:rPr>
          <w:noProof/>
        </w:rPr>
        <w:t>63</w:t>
      </w:r>
      <w:r>
        <w:rPr>
          <w:noProof/>
        </w:rPr>
        <w:fldChar w:fldCharType="end"/>
      </w:r>
    </w:p>
    <w:p w14:paraId="5D3388B2" w14:textId="77777777" w:rsidR="009179C5" w:rsidRDefault="009179C5">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_Toc257278800 \h </w:instrText>
      </w:r>
      <w:r>
        <w:rPr>
          <w:noProof/>
        </w:rPr>
      </w:r>
      <w:r>
        <w:rPr>
          <w:noProof/>
        </w:rPr>
        <w:fldChar w:fldCharType="separate"/>
      </w:r>
      <w:r>
        <w:rPr>
          <w:noProof/>
        </w:rPr>
        <w:t>64</w:t>
      </w:r>
      <w:r>
        <w:rPr>
          <w:noProof/>
        </w:rPr>
        <w:fldChar w:fldCharType="end"/>
      </w:r>
    </w:p>
    <w:p w14:paraId="1D0FFF5D" w14:textId="77777777" w:rsidR="009179C5" w:rsidRDefault="009179C5">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_Toc257278801 \h </w:instrText>
      </w:r>
      <w:r>
        <w:rPr>
          <w:noProof/>
        </w:rPr>
      </w:r>
      <w:r>
        <w:rPr>
          <w:noProof/>
        </w:rPr>
        <w:fldChar w:fldCharType="separate"/>
      </w:r>
      <w:r>
        <w:rPr>
          <w:noProof/>
        </w:rPr>
        <w:t>64</w:t>
      </w:r>
      <w:r>
        <w:rPr>
          <w:noProof/>
        </w:rPr>
        <w:fldChar w:fldCharType="end"/>
      </w:r>
    </w:p>
    <w:p w14:paraId="09C45F71" w14:textId="77777777" w:rsidR="009179C5" w:rsidRDefault="009179C5">
      <w:pPr>
        <w:pStyle w:val="TOC1"/>
        <w:tabs>
          <w:tab w:val="right" w:leader="dot" w:pos="8630"/>
        </w:tabs>
        <w:rPr>
          <w:noProof/>
        </w:rPr>
      </w:pPr>
      <w:r>
        <w:rPr>
          <w:noProof/>
        </w:rPr>
        <w:t>Chapter III:  From shell deposition to protein expression: An integrative assessment of ocean acidification impacts on a marine invertebrate</w:t>
      </w:r>
      <w:r>
        <w:rPr>
          <w:noProof/>
        </w:rPr>
        <w:tab/>
      </w:r>
      <w:r>
        <w:rPr>
          <w:noProof/>
        </w:rPr>
        <w:fldChar w:fldCharType="begin"/>
      </w:r>
      <w:r>
        <w:rPr>
          <w:noProof/>
        </w:rPr>
        <w:instrText xml:space="preserve"> PAGEREF _Toc257278802 \h </w:instrText>
      </w:r>
      <w:r>
        <w:rPr>
          <w:noProof/>
        </w:rPr>
      </w:r>
      <w:r>
        <w:rPr>
          <w:noProof/>
        </w:rPr>
        <w:fldChar w:fldCharType="separate"/>
      </w:r>
      <w:r>
        <w:rPr>
          <w:noProof/>
        </w:rPr>
        <w:t>68</w:t>
      </w:r>
      <w:r>
        <w:rPr>
          <w:noProof/>
        </w:rPr>
        <w:fldChar w:fldCharType="end"/>
      </w:r>
    </w:p>
    <w:p w14:paraId="4D8E1E8F" w14:textId="77777777" w:rsidR="009179C5" w:rsidRDefault="009179C5">
      <w:pPr>
        <w:pStyle w:val="TOC2"/>
        <w:tabs>
          <w:tab w:val="right" w:leader="dot" w:pos="8630"/>
        </w:tabs>
        <w:rPr>
          <w:noProof/>
        </w:rPr>
      </w:pPr>
      <w:r>
        <w:rPr>
          <w:noProof/>
        </w:rPr>
        <w:t>Abstract</w:t>
      </w:r>
      <w:r>
        <w:rPr>
          <w:noProof/>
        </w:rPr>
        <w:tab/>
      </w:r>
      <w:r>
        <w:rPr>
          <w:noProof/>
        </w:rPr>
        <w:fldChar w:fldCharType="begin"/>
      </w:r>
      <w:r>
        <w:rPr>
          <w:noProof/>
        </w:rPr>
        <w:instrText xml:space="preserve"> PAGEREF _Toc257278803 \h </w:instrText>
      </w:r>
      <w:r>
        <w:rPr>
          <w:noProof/>
        </w:rPr>
      </w:r>
      <w:r>
        <w:rPr>
          <w:noProof/>
        </w:rPr>
        <w:fldChar w:fldCharType="separate"/>
      </w:r>
      <w:r>
        <w:rPr>
          <w:noProof/>
        </w:rPr>
        <w:t>68</w:t>
      </w:r>
      <w:r>
        <w:rPr>
          <w:noProof/>
        </w:rPr>
        <w:fldChar w:fldCharType="end"/>
      </w:r>
    </w:p>
    <w:p w14:paraId="603729BE" w14:textId="77777777" w:rsidR="009179C5" w:rsidRDefault="009179C5">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_Toc257278804 \h </w:instrText>
      </w:r>
      <w:r>
        <w:rPr>
          <w:noProof/>
        </w:rPr>
      </w:r>
      <w:r>
        <w:rPr>
          <w:noProof/>
        </w:rPr>
        <w:fldChar w:fldCharType="separate"/>
      </w:r>
      <w:r>
        <w:rPr>
          <w:noProof/>
        </w:rPr>
        <w:t>68</w:t>
      </w:r>
      <w:r>
        <w:rPr>
          <w:noProof/>
        </w:rPr>
        <w:fldChar w:fldCharType="end"/>
      </w:r>
    </w:p>
    <w:p w14:paraId="3F49370A" w14:textId="77777777" w:rsidR="009179C5" w:rsidRDefault="009179C5">
      <w:pPr>
        <w:pStyle w:val="TOC2"/>
        <w:tabs>
          <w:tab w:val="right" w:leader="dot" w:pos="8630"/>
        </w:tabs>
        <w:rPr>
          <w:noProof/>
        </w:rPr>
      </w:pPr>
      <w:r>
        <w:rPr>
          <w:noProof/>
        </w:rPr>
        <w:t>Methods</w:t>
      </w:r>
      <w:r>
        <w:rPr>
          <w:noProof/>
        </w:rPr>
        <w:tab/>
      </w:r>
      <w:r>
        <w:rPr>
          <w:noProof/>
        </w:rPr>
        <w:fldChar w:fldCharType="begin"/>
      </w:r>
      <w:r>
        <w:rPr>
          <w:noProof/>
        </w:rPr>
        <w:instrText xml:space="preserve"> PAGEREF _Toc257278805 \h </w:instrText>
      </w:r>
      <w:r>
        <w:rPr>
          <w:noProof/>
        </w:rPr>
      </w:r>
      <w:r>
        <w:rPr>
          <w:noProof/>
        </w:rPr>
        <w:fldChar w:fldCharType="separate"/>
      </w:r>
      <w:r>
        <w:rPr>
          <w:noProof/>
        </w:rPr>
        <w:t>70</w:t>
      </w:r>
      <w:r>
        <w:rPr>
          <w:noProof/>
        </w:rPr>
        <w:fldChar w:fldCharType="end"/>
      </w:r>
    </w:p>
    <w:p w14:paraId="76D14C60" w14:textId="77777777" w:rsidR="009179C5" w:rsidRDefault="009179C5">
      <w:pPr>
        <w:pStyle w:val="TOC3"/>
        <w:rPr>
          <w:noProof/>
        </w:rPr>
      </w:pPr>
      <w:r>
        <w:rPr>
          <w:noProof/>
        </w:rPr>
        <w:t>Ocean acidification system</w:t>
      </w:r>
      <w:r>
        <w:rPr>
          <w:noProof/>
        </w:rPr>
        <w:tab/>
      </w:r>
      <w:r>
        <w:rPr>
          <w:noProof/>
        </w:rPr>
        <w:fldChar w:fldCharType="begin"/>
      </w:r>
      <w:r>
        <w:rPr>
          <w:noProof/>
        </w:rPr>
        <w:instrText xml:space="preserve"> PAGEREF _Toc257278806 \h </w:instrText>
      </w:r>
      <w:r>
        <w:rPr>
          <w:noProof/>
        </w:rPr>
      </w:r>
      <w:r>
        <w:rPr>
          <w:noProof/>
        </w:rPr>
        <w:fldChar w:fldCharType="separate"/>
      </w:r>
      <w:r>
        <w:rPr>
          <w:noProof/>
        </w:rPr>
        <w:t>70</w:t>
      </w:r>
      <w:r>
        <w:rPr>
          <w:noProof/>
        </w:rPr>
        <w:fldChar w:fldCharType="end"/>
      </w:r>
    </w:p>
    <w:p w14:paraId="566C0598" w14:textId="77777777" w:rsidR="009179C5" w:rsidRDefault="009179C5">
      <w:pPr>
        <w:pStyle w:val="TOC3"/>
        <w:rPr>
          <w:noProof/>
        </w:rPr>
      </w:pPr>
      <w:r>
        <w:rPr>
          <w:noProof/>
        </w:rPr>
        <w:t>Experimental design</w:t>
      </w:r>
      <w:r>
        <w:rPr>
          <w:noProof/>
        </w:rPr>
        <w:tab/>
      </w:r>
      <w:r>
        <w:rPr>
          <w:noProof/>
        </w:rPr>
        <w:fldChar w:fldCharType="begin"/>
      </w:r>
      <w:r>
        <w:rPr>
          <w:noProof/>
        </w:rPr>
        <w:instrText xml:space="preserve"> PAGEREF _Toc257278807 \h </w:instrText>
      </w:r>
      <w:r>
        <w:rPr>
          <w:noProof/>
        </w:rPr>
      </w:r>
      <w:r>
        <w:rPr>
          <w:noProof/>
        </w:rPr>
        <w:fldChar w:fldCharType="separate"/>
      </w:r>
      <w:r>
        <w:rPr>
          <w:noProof/>
        </w:rPr>
        <w:t>71</w:t>
      </w:r>
      <w:r>
        <w:rPr>
          <w:noProof/>
        </w:rPr>
        <w:fldChar w:fldCharType="end"/>
      </w:r>
    </w:p>
    <w:p w14:paraId="091F88D7" w14:textId="77777777" w:rsidR="009179C5" w:rsidRDefault="009179C5">
      <w:pPr>
        <w:pStyle w:val="TOC3"/>
        <w:rPr>
          <w:noProof/>
        </w:rPr>
      </w:pPr>
      <w:r>
        <w:rPr>
          <w:noProof/>
        </w:rPr>
        <w:t>Shell micromechanical properties</w:t>
      </w:r>
      <w:r>
        <w:rPr>
          <w:noProof/>
        </w:rPr>
        <w:tab/>
      </w:r>
      <w:r>
        <w:rPr>
          <w:noProof/>
        </w:rPr>
        <w:fldChar w:fldCharType="begin"/>
      </w:r>
      <w:r>
        <w:rPr>
          <w:noProof/>
        </w:rPr>
        <w:instrText xml:space="preserve"> PAGEREF _Toc257278808 \h </w:instrText>
      </w:r>
      <w:r>
        <w:rPr>
          <w:noProof/>
        </w:rPr>
      </w:r>
      <w:r>
        <w:rPr>
          <w:noProof/>
        </w:rPr>
        <w:fldChar w:fldCharType="separate"/>
      </w:r>
      <w:r>
        <w:rPr>
          <w:noProof/>
        </w:rPr>
        <w:t>72</w:t>
      </w:r>
      <w:r>
        <w:rPr>
          <w:noProof/>
        </w:rPr>
        <w:fldChar w:fldCharType="end"/>
      </w:r>
    </w:p>
    <w:p w14:paraId="19D153CF" w14:textId="77777777" w:rsidR="009179C5" w:rsidRDefault="009179C5">
      <w:pPr>
        <w:pStyle w:val="TOC3"/>
        <w:rPr>
          <w:noProof/>
        </w:rPr>
      </w:pPr>
      <w:r>
        <w:rPr>
          <w:noProof/>
        </w:rPr>
        <w:t>Fatty acid and glycogen analyses</w:t>
      </w:r>
      <w:r>
        <w:rPr>
          <w:noProof/>
        </w:rPr>
        <w:tab/>
      </w:r>
      <w:r>
        <w:rPr>
          <w:noProof/>
        </w:rPr>
        <w:fldChar w:fldCharType="begin"/>
      </w:r>
      <w:r>
        <w:rPr>
          <w:noProof/>
        </w:rPr>
        <w:instrText xml:space="preserve"> PAGEREF _Toc257278809 \h </w:instrText>
      </w:r>
      <w:r>
        <w:rPr>
          <w:noProof/>
        </w:rPr>
      </w:r>
      <w:r>
        <w:rPr>
          <w:noProof/>
        </w:rPr>
        <w:fldChar w:fldCharType="separate"/>
      </w:r>
      <w:r>
        <w:rPr>
          <w:noProof/>
        </w:rPr>
        <w:t>74</w:t>
      </w:r>
      <w:r>
        <w:rPr>
          <w:noProof/>
        </w:rPr>
        <w:fldChar w:fldCharType="end"/>
      </w:r>
    </w:p>
    <w:p w14:paraId="0E88EC6B" w14:textId="77777777" w:rsidR="009179C5" w:rsidRDefault="009179C5">
      <w:pPr>
        <w:pStyle w:val="TOC3"/>
        <w:rPr>
          <w:noProof/>
        </w:rPr>
      </w:pPr>
      <w:r>
        <w:rPr>
          <w:noProof/>
        </w:rPr>
        <w:t>Heat shock</w:t>
      </w:r>
      <w:r>
        <w:rPr>
          <w:noProof/>
        </w:rPr>
        <w:tab/>
      </w:r>
      <w:r>
        <w:rPr>
          <w:noProof/>
        </w:rPr>
        <w:fldChar w:fldCharType="begin"/>
      </w:r>
      <w:r>
        <w:rPr>
          <w:noProof/>
        </w:rPr>
        <w:instrText xml:space="preserve"> PAGEREF _Toc257278810 \h </w:instrText>
      </w:r>
      <w:r>
        <w:rPr>
          <w:noProof/>
        </w:rPr>
      </w:r>
      <w:r>
        <w:rPr>
          <w:noProof/>
        </w:rPr>
        <w:fldChar w:fldCharType="separate"/>
      </w:r>
      <w:r>
        <w:rPr>
          <w:noProof/>
        </w:rPr>
        <w:t>75</w:t>
      </w:r>
      <w:r>
        <w:rPr>
          <w:noProof/>
        </w:rPr>
        <w:fldChar w:fldCharType="end"/>
      </w:r>
    </w:p>
    <w:p w14:paraId="35E26B89" w14:textId="77777777" w:rsidR="009179C5" w:rsidRDefault="009179C5">
      <w:pPr>
        <w:pStyle w:val="TOC3"/>
        <w:rPr>
          <w:noProof/>
        </w:rPr>
      </w:pPr>
      <w:r>
        <w:rPr>
          <w:noProof/>
        </w:rPr>
        <w:t>Liquid chromatography and tandem mass spectrometry (LC-MS/MS)</w:t>
      </w:r>
      <w:r>
        <w:rPr>
          <w:noProof/>
        </w:rPr>
        <w:tab/>
      </w:r>
      <w:r>
        <w:rPr>
          <w:noProof/>
        </w:rPr>
        <w:fldChar w:fldCharType="begin"/>
      </w:r>
      <w:r>
        <w:rPr>
          <w:noProof/>
        </w:rPr>
        <w:instrText xml:space="preserve"> PAGEREF _Toc257278811 \h </w:instrText>
      </w:r>
      <w:r>
        <w:rPr>
          <w:noProof/>
        </w:rPr>
      </w:r>
      <w:r>
        <w:rPr>
          <w:noProof/>
        </w:rPr>
        <w:fldChar w:fldCharType="separate"/>
      </w:r>
      <w:r>
        <w:rPr>
          <w:noProof/>
        </w:rPr>
        <w:t>76</w:t>
      </w:r>
      <w:r>
        <w:rPr>
          <w:noProof/>
        </w:rPr>
        <w:fldChar w:fldCharType="end"/>
      </w:r>
    </w:p>
    <w:p w14:paraId="4A44361E" w14:textId="77777777" w:rsidR="009179C5" w:rsidRDefault="009179C5">
      <w:pPr>
        <w:pStyle w:val="TOC3"/>
        <w:rPr>
          <w:noProof/>
        </w:rPr>
      </w:pPr>
      <w:r>
        <w:rPr>
          <w:noProof/>
        </w:rPr>
        <w:t>Protein informatics analysis</w:t>
      </w:r>
      <w:r>
        <w:rPr>
          <w:noProof/>
        </w:rPr>
        <w:tab/>
      </w:r>
      <w:r>
        <w:rPr>
          <w:noProof/>
        </w:rPr>
        <w:fldChar w:fldCharType="begin"/>
      </w:r>
      <w:r>
        <w:rPr>
          <w:noProof/>
        </w:rPr>
        <w:instrText xml:space="preserve"> PAGEREF _Toc257278812 \h </w:instrText>
      </w:r>
      <w:r>
        <w:rPr>
          <w:noProof/>
        </w:rPr>
      </w:r>
      <w:r>
        <w:rPr>
          <w:noProof/>
        </w:rPr>
        <w:fldChar w:fldCharType="separate"/>
      </w:r>
      <w:r>
        <w:rPr>
          <w:noProof/>
        </w:rPr>
        <w:t>76</w:t>
      </w:r>
      <w:r>
        <w:rPr>
          <w:noProof/>
        </w:rPr>
        <w:fldChar w:fldCharType="end"/>
      </w:r>
    </w:p>
    <w:p w14:paraId="35DD0473" w14:textId="77777777" w:rsidR="009179C5" w:rsidRDefault="009179C5">
      <w:pPr>
        <w:pStyle w:val="TOC2"/>
        <w:tabs>
          <w:tab w:val="right" w:leader="dot" w:pos="8630"/>
        </w:tabs>
        <w:rPr>
          <w:noProof/>
        </w:rPr>
      </w:pPr>
      <w:r>
        <w:rPr>
          <w:noProof/>
        </w:rPr>
        <w:t>Results</w:t>
      </w:r>
      <w:r>
        <w:rPr>
          <w:noProof/>
        </w:rPr>
        <w:tab/>
      </w:r>
      <w:r>
        <w:rPr>
          <w:noProof/>
        </w:rPr>
        <w:fldChar w:fldCharType="begin"/>
      </w:r>
      <w:r>
        <w:rPr>
          <w:noProof/>
        </w:rPr>
        <w:instrText xml:space="preserve"> PAGEREF _Toc257278813 \h </w:instrText>
      </w:r>
      <w:r>
        <w:rPr>
          <w:noProof/>
        </w:rPr>
      </w:r>
      <w:r>
        <w:rPr>
          <w:noProof/>
        </w:rPr>
        <w:fldChar w:fldCharType="separate"/>
      </w:r>
      <w:r>
        <w:rPr>
          <w:noProof/>
        </w:rPr>
        <w:t>78</w:t>
      </w:r>
      <w:r>
        <w:rPr>
          <w:noProof/>
        </w:rPr>
        <w:fldChar w:fldCharType="end"/>
      </w:r>
    </w:p>
    <w:p w14:paraId="7B008AA9" w14:textId="77777777" w:rsidR="009179C5" w:rsidRDefault="009179C5">
      <w:pPr>
        <w:pStyle w:val="TOC3"/>
        <w:rPr>
          <w:noProof/>
        </w:rPr>
      </w:pPr>
      <w:r>
        <w:rPr>
          <w:noProof/>
        </w:rPr>
        <w:t>Seawater chemistry analysis</w:t>
      </w:r>
      <w:r>
        <w:rPr>
          <w:noProof/>
        </w:rPr>
        <w:tab/>
      </w:r>
      <w:r>
        <w:rPr>
          <w:noProof/>
        </w:rPr>
        <w:fldChar w:fldCharType="begin"/>
      </w:r>
      <w:r>
        <w:rPr>
          <w:noProof/>
        </w:rPr>
        <w:instrText xml:space="preserve"> PAGEREF _Toc257278814 \h </w:instrText>
      </w:r>
      <w:r>
        <w:rPr>
          <w:noProof/>
        </w:rPr>
      </w:r>
      <w:r>
        <w:rPr>
          <w:noProof/>
        </w:rPr>
        <w:fldChar w:fldCharType="separate"/>
      </w:r>
      <w:r>
        <w:rPr>
          <w:noProof/>
        </w:rPr>
        <w:t>78</w:t>
      </w:r>
      <w:r>
        <w:rPr>
          <w:noProof/>
        </w:rPr>
        <w:fldChar w:fldCharType="end"/>
      </w:r>
    </w:p>
    <w:p w14:paraId="5ED48242" w14:textId="77777777" w:rsidR="009179C5" w:rsidRDefault="009179C5">
      <w:pPr>
        <w:pStyle w:val="TOC3"/>
        <w:rPr>
          <w:noProof/>
        </w:rPr>
      </w:pPr>
      <w:r>
        <w:rPr>
          <w:noProof/>
        </w:rPr>
        <w:t>Oyster growth</w:t>
      </w:r>
      <w:r>
        <w:rPr>
          <w:noProof/>
        </w:rPr>
        <w:tab/>
      </w:r>
      <w:r>
        <w:rPr>
          <w:noProof/>
        </w:rPr>
        <w:fldChar w:fldCharType="begin"/>
      </w:r>
      <w:r>
        <w:rPr>
          <w:noProof/>
        </w:rPr>
        <w:instrText xml:space="preserve"> PAGEREF _Toc257278815 \h </w:instrText>
      </w:r>
      <w:r>
        <w:rPr>
          <w:noProof/>
        </w:rPr>
      </w:r>
      <w:r>
        <w:rPr>
          <w:noProof/>
        </w:rPr>
        <w:fldChar w:fldCharType="separate"/>
      </w:r>
      <w:r>
        <w:rPr>
          <w:noProof/>
        </w:rPr>
        <w:t>78</w:t>
      </w:r>
      <w:r>
        <w:rPr>
          <w:noProof/>
        </w:rPr>
        <w:fldChar w:fldCharType="end"/>
      </w:r>
    </w:p>
    <w:p w14:paraId="19960A67" w14:textId="77777777" w:rsidR="009179C5" w:rsidRDefault="009179C5">
      <w:pPr>
        <w:pStyle w:val="TOC3"/>
        <w:rPr>
          <w:noProof/>
        </w:rPr>
      </w:pPr>
      <w:r>
        <w:rPr>
          <w:noProof/>
        </w:rPr>
        <w:t>Micromechanical properties</w:t>
      </w:r>
      <w:r>
        <w:rPr>
          <w:noProof/>
        </w:rPr>
        <w:tab/>
      </w:r>
      <w:r>
        <w:rPr>
          <w:noProof/>
        </w:rPr>
        <w:fldChar w:fldCharType="begin"/>
      </w:r>
      <w:r>
        <w:rPr>
          <w:noProof/>
        </w:rPr>
        <w:instrText xml:space="preserve"> PAGEREF _Toc257278816 \h </w:instrText>
      </w:r>
      <w:r>
        <w:rPr>
          <w:noProof/>
        </w:rPr>
      </w:r>
      <w:r>
        <w:rPr>
          <w:noProof/>
        </w:rPr>
        <w:fldChar w:fldCharType="separate"/>
      </w:r>
      <w:r>
        <w:rPr>
          <w:noProof/>
        </w:rPr>
        <w:t>78</w:t>
      </w:r>
      <w:r>
        <w:rPr>
          <w:noProof/>
        </w:rPr>
        <w:fldChar w:fldCharType="end"/>
      </w:r>
    </w:p>
    <w:p w14:paraId="2C19BE87" w14:textId="77777777" w:rsidR="009179C5" w:rsidRDefault="009179C5">
      <w:pPr>
        <w:pStyle w:val="TOC3"/>
        <w:rPr>
          <w:noProof/>
        </w:rPr>
      </w:pPr>
      <w:r>
        <w:rPr>
          <w:noProof/>
        </w:rPr>
        <w:t>Fatty acids and Glycogen</w:t>
      </w:r>
      <w:r>
        <w:rPr>
          <w:noProof/>
        </w:rPr>
        <w:tab/>
      </w:r>
      <w:r>
        <w:rPr>
          <w:noProof/>
        </w:rPr>
        <w:fldChar w:fldCharType="begin"/>
      </w:r>
      <w:r>
        <w:rPr>
          <w:noProof/>
        </w:rPr>
        <w:instrText xml:space="preserve"> PAGEREF _Toc257278817 \h </w:instrText>
      </w:r>
      <w:r>
        <w:rPr>
          <w:noProof/>
        </w:rPr>
      </w:r>
      <w:r>
        <w:rPr>
          <w:noProof/>
        </w:rPr>
        <w:fldChar w:fldCharType="separate"/>
      </w:r>
      <w:r>
        <w:rPr>
          <w:noProof/>
        </w:rPr>
        <w:t>79</w:t>
      </w:r>
      <w:r>
        <w:rPr>
          <w:noProof/>
        </w:rPr>
        <w:fldChar w:fldCharType="end"/>
      </w:r>
    </w:p>
    <w:p w14:paraId="72AF01DA" w14:textId="77777777" w:rsidR="009179C5" w:rsidRDefault="009179C5">
      <w:pPr>
        <w:pStyle w:val="TOC3"/>
        <w:rPr>
          <w:noProof/>
        </w:rPr>
      </w:pPr>
      <w:r>
        <w:rPr>
          <w:noProof/>
        </w:rPr>
        <w:t>Heat shock response</w:t>
      </w:r>
      <w:r>
        <w:rPr>
          <w:noProof/>
        </w:rPr>
        <w:tab/>
      </w:r>
      <w:r>
        <w:rPr>
          <w:noProof/>
        </w:rPr>
        <w:fldChar w:fldCharType="begin"/>
      </w:r>
      <w:r>
        <w:rPr>
          <w:noProof/>
        </w:rPr>
        <w:instrText xml:space="preserve"> PAGEREF _Toc257278818 \h </w:instrText>
      </w:r>
      <w:r>
        <w:rPr>
          <w:noProof/>
        </w:rPr>
      </w:r>
      <w:r>
        <w:rPr>
          <w:noProof/>
        </w:rPr>
        <w:fldChar w:fldCharType="separate"/>
      </w:r>
      <w:r>
        <w:rPr>
          <w:noProof/>
        </w:rPr>
        <w:t>79</w:t>
      </w:r>
      <w:r>
        <w:rPr>
          <w:noProof/>
        </w:rPr>
        <w:fldChar w:fldCharType="end"/>
      </w:r>
    </w:p>
    <w:p w14:paraId="3EE70CF8" w14:textId="77777777" w:rsidR="009179C5" w:rsidRDefault="009179C5">
      <w:pPr>
        <w:pStyle w:val="TOC3"/>
        <w:rPr>
          <w:noProof/>
        </w:rPr>
      </w:pPr>
      <w:r>
        <w:rPr>
          <w:noProof/>
        </w:rPr>
        <w:t>Proteomics</w:t>
      </w:r>
      <w:r>
        <w:rPr>
          <w:noProof/>
        </w:rPr>
        <w:tab/>
      </w:r>
      <w:r>
        <w:rPr>
          <w:noProof/>
        </w:rPr>
        <w:fldChar w:fldCharType="begin"/>
      </w:r>
      <w:r>
        <w:rPr>
          <w:noProof/>
        </w:rPr>
        <w:instrText xml:space="preserve"> PAGEREF _Toc257278819 \h </w:instrText>
      </w:r>
      <w:r>
        <w:rPr>
          <w:noProof/>
        </w:rPr>
      </w:r>
      <w:r>
        <w:rPr>
          <w:noProof/>
        </w:rPr>
        <w:fldChar w:fldCharType="separate"/>
      </w:r>
      <w:r>
        <w:rPr>
          <w:noProof/>
        </w:rPr>
        <w:t>80</w:t>
      </w:r>
      <w:r>
        <w:rPr>
          <w:noProof/>
        </w:rPr>
        <w:fldChar w:fldCharType="end"/>
      </w:r>
    </w:p>
    <w:p w14:paraId="40E95AD7" w14:textId="77777777" w:rsidR="009179C5" w:rsidRDefault="009179C5">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_Toc257278820 \h </w:instrText>
      </w:r>
      <w:r>
        <w:rPr>
          <w:noProof/>
        </w:rPr>
      </w:r>
      <w:r>
        <w:rPr>
          <w:noProof/>
        </w:rPr>
        <w:fldChar w:fldCharType="separate"/>
      </w:r>
      <w:r>
        <w:rPr>
          <w:noProof/>
        </w:rPr>
        <w:t>82</w:t>
      </w:r>
      <w:r>
        <w:rPr>
          <w:noProof/>
        </w:rPr>
        <w:fldChar w:fldCharType="end"/>
      </w:r>
    </w:p>
    <w:p w14:paraId="534EAE4A" w14:textId="77777777" w:rsidR="009179C5" w:rsidRDefault="009179C5">
      <w:pPr>
        <w:pStyle w:val="TOC3"/>
        <w:rPr>
          <w:noProof/>
        </w:rPr>
      </w:pPr>
      <w:r>
        <w:rPr>
          <w:noProof/>
        </w:rPr>
        <w:t>Proteomic response to ocean acidification</w:t>
      </w:r>
      <w:r>
        <w:rPr>
          <w:noProof/>
        </w:rPr>
        <w:tab/>
      </w:r>
      <w:r>
        <w:rPr>
          <w:noProof/>
        </w:rPr>
        <w:fldChar w:fldCharType="begin"/>
      </w:r>
      <w:r>
        <w:rPr>
          <w:noProof/>
        </w:rPr>
        <w:instrText xml:space="preserve"> PAGEREF _Toc257278821 \h </w:instrText>
      </w:r>
      <w:r>
        <w:rPr>
          <w:noProof/>
        </w:rPr>
      </w:r>
      <w:r>
        <w:rPr>
          <w:noProof/>
        </w:rPr>
        <w:fldChar w:fldCharType="separate"/>
      </w:r>
      <w:r>
        <w:rPr>
          <w:noProof/>
        </w:rPr>
        <w:t>85</w:t>
      </w:r>
      <w:r>
        <w:rPr>
          <w:noProof/>
        </w:rPr>
        <w:fldChar w:fldCharType="end"/>
      </w:r>
    </w:p>
    <w:p w14:paraId="0C8131F7" w14:textId="77777777" w:rsidR="009179C5" w:rsidRDefault="009179C5">
      <w:pPr>
        <w:pStyle w:val="TOC3"/>
        <w:rPr>
          <w:noProof/>
        </w:rPr>
      </w:pPr>
      <w:r>
        <w:rPr>
          <w:noProof/>
        </w:rPr>
        <w:t>The effects of pCO</w:t>
      </w:r>
      <w:r w:rsidRPr="00F239C2">
        <w:rPr>
          <w:noProof/>
          <w:vertAlign w:val="subscript"/>
        </w:rPr>
        <w:t>2</w:t>
      </w:r>
      <w:r>
        <w:rPr>
          <w:noProof/>
        </w:rPr>
        <w:t xml:space="preserve"> on the stress response</w:t>
      </w:r>
      <w:r>
        <w:rPr>
          <w:noProof/>
        </w:rPr>
        <w:tab/>
      </w:r>
      <w:r>
        <w:rPr>
          <w:noProof/>
        </w:rPr>
        <w:fldChar w:fldCharType="begin"/>
      </w:r>
      <w:r>
        <w:rPr>
          <w:noProof/>
        </w:rPr>
        <w:instrText xml:space="preserve"> PAGEREF _Toc257278822 \h </w:instrText>
      </w:r>
      <w:r>
        <w:rPr>
          <w:noProof/>
        </w:rPr>
      </w:r>
      <w:r>
        <w:rPr>
          <w:noProof/>
        </w:rPr>
        <w:fldChar w:fldCharType="separate"/>
      </w:r>
      <w:r>
        <w:rPr>
          <w:noProof/>
        </w:rPr>
        <w:t>91</w:t>
      </w:r>
      <w:r>
        <w:rPr>
          <w:noProof/>
        </w:rPr>
        <w:fldChar w:fldCharType="end"/>
      </w:r>
    </w:p>
    <w:p w14:paraId="5366857B" w14:textId="77777777" w:rsidR="009179C5" w:rsidRDefault="009179C5">
      <w:pPr>
        <w:pStyle w:val="TOC3"/>
        <w:rPr>
          <w:noProof/>
        </w:rPr>
      </w:pPr>
      <w:r>
        <w:rPr>
          <w:noProof/>
        </w:rPr>
        <w:t>Conclusion</w:t>
      </w:r>
      <w:r>
        <w:rPr>
          <w:noProof/>
        </w:rPr>
        <w:tab/>
      </w:r>
      <w:r>
        <w:rPr>
          <w:noProof/>
        </w:rPr>
        <w:fldChar w:fldCharType="begin"/>
      </w:r>
      <w:r>
        <w:rPr>
          <w:noProof/>
        </w:rPr>
        <w:instrText xml:space="preserve"> PAGEREF _Toc257278823 \h </w:instrText>
      </w:r>
      <w:r>
        <w:rPr>
          <w:noProof/>
        </w:rPr>
      </w:r>
      <w:r>
        <w:rPr>
          <w:noProof/>
        </w:rPr>
        <w:fldChar w:fldCharType="separate"/>
      </w:r>
      <w:r>
        <w:rPr>
          <w:noProof/>
        </w:rPr>
        <w:t>94</w:t>
      </w:r>
      <w:r>
        <w:rPr>
          <w:noProof/>
        </w:rPr>
        <w:fldChar w:fldCharType="end"/>
      </w:r>
    </w:p>
    <w:p w14:paraId="1F1B94BB" w14:textId="77777777" w:rsidR="009179C5" w:rsidRDefault="009179C5">
      <w:pPr>
        <w:pStyle w:val="TOC2"/>
        <w:tabs>
          <w:tab w:val="right" w:leader="dot" w:pos="8630"/>
        </w:tabs>
        <w:rPr>
          <w:noProof/>
        </w:rPr>
      </w:pPr>
      <w:r>
        <w:rPr>
          <w:noProof/>
        </w:rPr>
        <w:t>Tables</w:t>
      </w:r>
      <w:r>
        <w:rPr>
          <w:noProof/>
        </w:rPr>
        <w:tab/>
      </w:r>
      <w:r>
        <w:rPr>
          <w:noProof/>
        </w:rPr>
        <w:fldChar w:fldCharType="begin"/>
      </w:r>
      <w:r>
        <w:rPr>
          <w:noProof/>
        </w:rPr>
        <w:instrText xml:space="preserve"> PAGEREF _Toc257278824 \h </w:instrText>
      </w:r>
      <w:r>
        <w:rPr>
          <w:noProof/>
        </w:rPr>
      </w:r>
      <w:r>
        <w:rPr>
          <w:noProof/>
        </w:rPr>
        <w:fldChar w:fldCharType="separate"/>
      </w:r>
      <w:r>
        <w:rPr>
          <w:noProof/>
        </w:rPr>
        <w:t>94</w:t>
      </w:r>
      <w:r>
        <w:rPr>
          <w:noProof/>
        </w:rPr>
        <w:fldChar w:fldCharType="end"/>
      </w:r>
    </w:p>
    <w:p w14:paraId="002583A2" w14:textId="77777777" w:rsidR="009179C5" w:rsidRDefault="009179C5">
      <w:pPr>
        <w:pStyle w:val="TOC2"/>
        <w:tabs>
          <w:tab w:val="right" w:leader="dot" w:pos="8630"/>
        </w:tabs>
        <w:rPr>
          <w:noProof/>
        </w:rPr>
      </w:pPr>
      <w:r>
        <w:rPr>
          <w:noProof/>
        </w:rPr>
        <w:t>Figures</w:t>
      </w:r>
      <w:r>
        <w:rPr>
          <w:noProof/>
        </w:rPr>
        <w:tab/>
      </w:r>
      <w:r>
        <w:rPr>
          <w:noProof/>
        </w:rPr>
        <w:fldChar w:fldCharType="begin"/>
      </w:r>
      <w:r>
        <w:rPr>
          <w:noProof/>
        </w:rPr>
        <w:instrText xml:space="preserve"> PAGEREF _Toc257278825 \h </w:instrText>
      </w:r>
      <w:r>
        <w:rPr>
          <w:noProof/>
        </w:rPr>
      </w:r>
      <w:r>
        <w:rPr>
          <w:noProof/>
        </w:rPr>
        <w:fldChar w:fldCharType="separate"/>
      </w:r>
      <w:r>
        <w:rPr>
          <w:noProof/>
        </w:rPr>
        <w:t>96</w:t>
      </w:r>
      <w:r>
        <w:rPr>
          <w:noProof/>
        </w:rPr>
        <w:fldChar w:fldCharType="end"/>
      </w:r>
    </w:p>
    <w:p w14:paraId="3A378C15" w14:textId="77777777" w:rsidR="009179C5" w:rsidRDefault="009179C5">
      <w:pPr>
        <w:pStyle w:val="TOC2"/>
        <w:tabs>
          <w:tab w:val="right" w:leader="dot" w:pos="8630"/>
        </w:tabs>
        <w:rPr>
          <w:noProof/>
        </w:rPr>
      </w:pPr>
      <w:r>
        <w:rPr>
          <w:noProof/>
        </w:rPr>
        <w:t>Supplementary Information</w:t>
      </w:r>
      <w:r>
        <w:rPr>
          <w:noProof/>
        </w:rPr>
        <w:tab/>
      </w:r>
      <w:r>
        <w:rPr>
          <w:noProof/>
        </w:rPr>
        <w:fldChar w:fldCharType="begin"/>
      </w:r>
      <w:r>
        <w:rPr>
          <w:noProof/>
        </w:rPr>
        <w:instrText xml:space="preserve"> PAGEREF _Toc257278826 \h </w:instrText>
      </w:r>
      <w:r>
        <w:rPr>
          <w:noProof/>
        </w:rPr>
      </w:r>
      <w:r>
        <w:rPr>
          <w:noProof/>
        </w:rPr>
        <w:fldChar w:fldCharType="separate"/>
      </w:r>
      <w:r>
        <w:rPr>
          <w:noProof/>
        </w:rPr>
        <w:t>100</w:t>
      </w:r>
      <w:r>
        <w:rPr>
          <w:noProof/>
        </w:rPr>
        <w:fldChar w:fldCharType="end"/>
      </w:r>
    </w:p>
    <w:p w14:paraId="0005DE3F" w14:textId="77777777" w:rsidR="009179C5" w:rsidRDefault="009179C5">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_Toc257278827 \h </w:instrText>
      </w:r>
      <w:r>
        <w:rPr>
          <w:noProof/>
        </w:rPr>
      </w:r>
      <w:r>
        <w:rPr>
          <w:noProof/>
        </w:rPr>
        <w:fldChar w:fldCharType="separate"/>
      </w:r>
      <w:r>
        <w:rPr>
          <w:noProof/>
        </w:rPr>
        <w:t>102</w:t>
      </w:r>
      <w:r>
        <w:rPr>
          <w:noProof/>
        </w:rPr>
        <w:fldChar w:fldCharType="end"/>
      </w:r>
    </w:p>
    <w:p w14:paraId="7C2BC5DD" w14:textId="77777777" w:rsidR="009179C5" w:rsidRDefault="009179C5">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_Toc257278828 \h </w:instrText>
      </w:r>
      <w:r>
        <w:rPr>
          <w:noProof/>
        </w:rPr>
      </w:r>
      <w:r>
        <w:rPr>
          <w:noProof/>
        </w:rPr>
        <w:fldChar w:fldCharType="separate"/>
      </w:r>
      <w:r>
        <w:rPr>
          <w:noProof/>
        </w:rPr>
        <w:t>103</w:t>
      </w:r>
      <w:r>
        <w:rPr>
          <w:noProof/>
        </w:rPr>
        <w:fldChar w:fldCharType="end"/>
      </w:r>
    </w:p>
    <w:p w14:paraId="3652AB38" w14:textId="77777777" w:rsidR="009179C5" w:rsidRDefault="009179C5">
      <w:pPr>
        <w:pStyle w:val="TOC1"/>
        <w:tabs>
          <w:tab w:val="right" w:leader="dot" w:pos="8630"/>
        </w:tabs>
        <w:rPr>
          <w:noProof/>
        </w:rPr>
      </w:pPr>
      <w:r>
        <w:rPr>
          <w:noProof/>
        </w:rPr>
        <w:t>Synthesis and Conclusion</w:t>
      </w:r>
      <w:r>
        <w:rPr>
          <w:noProof/>
        </w:rPr>
        <w:tab/>
      </w:r>
      <w:r>
        <w:rPr>
          <w:noProof/>
        </w:rPr>
        <w:fldChar w:fldCharType="begin"/>
      </w:r>
      <w:r>
        <w:rPr>
          <w:noProof/>
        </w:rPr>
        <w:instrText xml:space="preserve"> PAGEREF _Toc257278829 \h </w:instrText>
      </w:r>
      <w:r>
        <w:rPr>
          <w:noProof/>
        </w:rPr>
      </w:r>
      <w:r>
        <w:rPr>
          <w:noProof/>
        </w:rPr>
        <w:fldChar w:fldCharType="separate"/>
      </w:r>
      <w:r>
        <w:rPr>
          <w:noProof/>
        </w:rPr>
        <w:t>112</w:t>
      </w:r>
      <w:r>
        <w:rPr>
          <w:noProof/>
        </w:rPr>
        <w:fldChar w:fldCharType="end"/>
      </w:r>
    </w:p>
    <w:p w14:paraId="1C7F5565" w14:textId="77777777" w:rsidR="009179C5" w:rsidRDefault="009179C5">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_Toc257278830 \h </w:instrText>
      </w:r>
      <w:r>
        <w:rPr>
          <w:noProof/>
        </w:rPr>
      </w:r>
      <w:r>
        <w:rPr>
          <w:noProof/>
        </w:rPr>
        <w:fldChar w:fldCharType="separate"/>
      </w:r>
      <w:r>
        <w:rPr>
          <w:noProof/>
        </w:rPr>
        <w:t>114</w:t>
      </w:r>
      <w:r>
        <w:rPr>
          <w:noProof/>
        </w:rPr>
        <w:fldChar w:fldCharType="end"/>
      </w:r>
    </w:p>
    <w:p w14:paraId="5BFBB332" w14:textId="77777777" w:rsidR="009179C5" w:rsidRDefault="009179C5">
      <w:pPr>
        <w:pStyle w:val="TOC1"/>
        <w:tabs>
          <w:tab w:val="right" w:leader="dot" w:pos="8630"/>
        </w:tabs>
        <w:rPr>
          <w:noProof/>
        </w:rPr>
      </w:pPr>
      <w:r>
        <w:rPr>
          <w:noProof/>
        </w:rPr>
        <w:t>Appendix A:  Exploration of enzymatic activity of Pacific oyster antioxidant proteins in response to ocean acidification</w:t>
      </w:r>
      <w:r>
        <w:rPr>
          <w:noProof/>
        </w:rPr>
        <w:tab/>
      </w:r>
      <w:r>
        <w:rPr>
          <w:noProof/>
        </w:rPr>
        <w:fldChar w:fldCharType="begin"/>
      </w:r>
      <w:r>
        <w:rPr>
          <w:noProof/>
        </w:rPr>
        <w:instrText xml:space="preserve"> PAGEREF _Toc257278831 \h </w:instrText>
      </w:r>
      <w:r>
        <w:rPr>
          <w:noProof/>
        </w:rPr>
      </w:r>
      <w:r>
        <w:rPr>
          <w:noProof/>
        </w:rPr>
        <w:fldChar w:fldCharType="separate"/>
      </w:r>
      <w:r>
        <w:rPr>
          <w:noProof/>
        </w:rPr>
        <w:t>117</w:t>
      </w:r>
      <w:r>
        <w:rPr>
          <w:noProof/>
        </w:rPr>
        <w:fldChar w:fldCharType="end"/>
      </w:r>
    </w:p>
    <w:p w14:paraId="62166525" w14:textId="77777777" w:rsidR="009179C5" w:rsidRDefault="009179C5">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_Toc257278832 \h </w:instrText>
      </w:r>
      <w:r>
        <w:rPr>
          <w:noProof/>
        </w:rPr>
      </w:r>
      <w:r>
        <w:rPr>
          <w:noProof/>
        </w:rPr>
        <w:fldChar w:fldCharType="separate"/>
      </w:r>
      <w:r>
        <w:rPr>
          <w:noProof/>
        </w:rPr>
        <w:t>117</w:t>
      </w:r>
      <w:r>
        <w:rPr>
          <w:noProof/>
        </w:rPr>
        <w:fldChar w:fldCharType="end"/>
      </w:r>
    </w:p>
    <w:p w14:paraId="1033306F" w14:textId="77777777" w:rsidR="009179C5" w:rsidRDefault="009179C5">
      <w:pPr>
        <w:pStyle w:val="TOC2"/>
        <w:tabs>
          <w:tab w:val="right" w:leader="dot" w:pos="8630"/>
        </w:tabs>
        <w:rPr>
          <w:noProof/>
        </w:rPr>
      </w:pPr>
      <w:r>
        <w:rPr>
          <w:noProof/>
        </w:rPr>
        <w:t>Methods</w:t>
      </w:r>
      <w:r>
        <w:rPr>
          <w:noProof/>
        </w:rPr>
        <w:tab/>
      </w:r>
      <w:r>
        <w:rPr>
          <w:noProof/>
        </w:rPr>
        <w:fldChar w:fldCharType="begin"/>
      </w:r>
      <w:r>
        <w:rPr>
          <w:noProof/>
        </w:rPr>
        <w:instrText xml:space="preserve"> PAGEREF _Toc257278833 \h </w:instrText>
      </w:r>
      <w:r>
        <w:rPr>
          <w:noProof/>
        </w:rPr>
      </w:r>
      <w:r>
        <w:rPr>
          <w:noProof/>
        </w:rPr>
        <w:fldChar w:fldCharType="separate"/>
      </w:r>
      <w:r>
        <w:rPr>
          <w:noProof/>
        </w:rPr>
        <w:t>118</w:t>
      </w:r>
      <w:r>
        <w:rPr>
          <w:noProof/>
        </w:rPr>
        <w:fldChar w:fldCharType="end"/>
      </w:r>
    </w:p>
    <w:p w14:paraId="16D5CCB2" w14:textId="77777777" w:rsidR="009179C5" w:rsidRDefault="009179C5">
      <w:pPr>
        <w:pStyle w:val="TOC3"/>
        <w:rPr>
          <w:noProof/>
        </w:rPr>
      </w:pPr>
      <w:r>
        <w:rPr>
          <w:noProof/>
          <w:lang w:eastAsia="en-US"/>
        </w:rPr>
        <w:t>Carbonate Chemistry</w:t>
      </w:r>
      <w:r>
        <w:rPr>
          <w:noProof/>
        </w:rPr>
        <w:tab/>
      </w:r>
      <w:r>
        <w:rPr>
          <w:noProof/>
        </w:rPr>
        <w:fldChar w:fldCharType="begin"/>
      </w:r>
      <w:r>
        <w:rPr>
          <w:noProof/>
        </w:rPr>
        <w:instrText xml:space="preserve"> PAGEREF _Toc257278834 \h </w:instrText>
      </w:r>
      <w:r>
        <w:rPr>
          <w:noProof/>
        </w:rPr>
      </w:r>
      <w:r>
        <w:rPr>
          <w:noProof/>
        </w:rPr>
        <w:fldChar w:fldCharType="separate"/>
      </w:r>
      <w:r>
        <w:rPr>
          <w:noProof/>
        </w:rPr>
        <w:t>118</w:t>
      </w:r>
      <w:r>
        <w:rPr>
          <w:noProof/>
        </w:rPr>
        <w:fldChar w:fldCharType="end"/>
      </w:r>
    </w:p>
    <w:p w14:paraId="231A8F40" w14:textId="77777777" w:rsidR="009179C5" w:rsidRDefault="009179C5">
      <w:pPr>
        <w:pStyle w:val="TOC3"/>
        <w:rPr>
          <w:noProof/>
        </w:rPr>
      </w:pPr>
      <w:r>
        <w:rPr>
          <w:noProof/>
          <w:lang w:eastAsia="en-US"/>
        </w:rPr>
        <w:t>Oysters</w:t>
      </w:r>
      <w:r>
        <w:rPr>
          <w:noProof/>
        </w:rPr>
        <w:tab/>
      </w:r>
      <w:r>
        <w:rPr>
          <w:noProof/>
        </w:rPr>
        <w:fldChar w:fldCharType="begin"/>
      </w:r>
      <w:r>
        <w:rPr>
          <w:noProof/>
        </w:rPr>
        <w:instrText xml:space="preserve"> PAGEREF _Toc257278835 \h </w:instrText>
      </w:r>
      <w:r>
        <w:rPr>
          <w:noProof/>
        </w:rPr>
      </w:r>
      <w:r>
        <w:rPr>
          <w:noProof/>
        </w:rPr>
        <w:fldChar w:fldCharType="separate"/>
      </w:r>
      <w:r>
        <w:rPr>
          <w:noProof/>
        </w:rPr>
        <w:t>118</w:t>
      </w:r>
      <w:r>
        <w:rPr>
          <w:noProof/>
        </w:rPr>
        <w:fldChar w:fldCharType="end"/>
      </w:r>
    </w:p>
    <w:p w14:paraId="4CF641C5" w14:textId="77777777" w:rsidR="009179C5" w:rsidRDefault="009179C5">
      <w:pPr>
        <w:pStyle w:val="TOC3"/>
        <w:rPr>
          <w:noProof/>
        </w:rPr>
      </w:pPr>
      <w:r>
        <w:rPr>
          <w:noProof/>
          <w:lang w:eastAsia="en-US"/>
        </w:rPr>
        <w:t>Glutathione S-transferase: protein extraction and enzymatic assay</w:t>
      </w:r>
      <w:r>
        <w:rPr>
          <w:noProof/>
        </w:rPr>
        <w:tab/>
      </w:r>
      <w:r>
        <w:rPr>
          <w:noProof/>
        </w:rPr>
        <w:fldChar w:fldCharType="begin"/>
      </w:r>
      <w:r>
        <w:rPr>
          <w:noProof/>
        </w:rPr>
        <w:instrText xml:space="preserve"> PAGEREF _Toc257278836 \h </w:instrText>
      </w:r>
      <w:r>
        <w:rPr>
          <w:noProof/>
        </w:rPr>
      </w:r>
      <w:r>
        <w:rPr>
          <w:noProof/>
        </w:rPr>
        <w:fldChar w:fldCharType="separate"/>
      </w:r>
      <w:r>
        <w:rPr>
          <w:noProof/>
        </w:rPr>
        <w:t>119</w:t>
      </w:r>
      <w:r>
        <w:rPr>
          <w:noProof/>
        </w:rPr>
        <w:fldChar w:fldCharType="end"/>
      </w:r>
    </w:p>
    <w:p w14:paraId="1E461343" w14:textId="77777777" w:rsidR="009179C5" w:rsidRDefault="009179C5">
      <w:pPr>
        <w:pStyle w:val="TOC3"/>
        <w:rPr>
          <w:noProof/>
        </w:rPr>
      </w:pPr>
      <w:r>
        <w:rPr>
          <w:noProof/>
          <w:lang w:eastAsia="en-US"/>
        </w:rPr>
        <w:t>Superoxide dismutase: protein extraction and enzymatic assay</w:t>
      </w:r>
      <w:r>
        <w:rPr>
          <w:noProof/>
        </w:rPr>
        <w:tab/>
      </w:r>
      <w:r>
        <w:rPr>
          <w:noProof/>
        </w:rPr>
        <w:fldChar w:fldCharType="begin"/>
      </w:r>
      <w:r>
        <w:rPr>
          <w:noProof/>
        </w:rPr>
        <w:instrText xml:space="preserve"> PAGEREF _Toc257278837 \h </w:instrText>
      </w:r>
      <w:r>
        <w:rPr>
          <w:noProof/>
        </w:rPr>
      </w:r>
      <w:r>
        <w:rPr>
          <w:noProof/>
        </w:rPr>
        <w:fldChar w:fldCharType="separate"/>
      </w:r>
      <w:r>
        <w:rPr>
          <w:noProof/>
        </w:rPr>
        <w:t>119</w:t>
      </w:r>
      <w:r>
        <w:rPr>
          <w:noProof/>
        </w:rPr>
        <w:fldChar w:fldCharType="end"/>
      </w:r>
    </w:p>
    <w:p w14:paraId="015DAC03" w14:textId="77777777" w:rsidR="009179C5" w:rsidRDefault="009179C5">
      <w:pPr>
        <w:pStyle w:val="TOC3"/>
        <w:rPr>
          <w:noProof/>
        </w:rPr>
      </w:pPr>
      <w:r>
        <w:rPr>
          <w:noProof/>
          <w:lang w:eastAsia="en-US"/>
        </w:rPr>
        <w:t>Protein Concentration</w:t>
      </w:r>
      <w:r>
        <w:rPr>
          <w:noProof/>
        </w:rPr>
        <w:tab/>
      </w:r>
      <w:r>
        <w:rPr>
          <w:noProof/>
        </w:rPr>
        <w:fldChar w:fldCharType="begin"/>
      </w:r>
      <w:r>
        <w:rPr>
          <w:noProof/>
        </w:rPr>
        <w:instrText xml:space="preserve"> PAGEREF _Toc257278838 \h </w:instrText>
      </w:r>
      <w:r>
        <w:rPr>
          <w:noProof/>
        </w:rPr>
      </w:r>
      <w:r>
        <w:rPr>
          <w:noProof/>
        </w:rPr>
        <w:fldChar w:fldCharType="separate"/>
      </w:r>
      <w:r>
        <w:rPr>
          <w:noProof/>
        </w:rPr>
        <w:t>120</w:t>
      </w:r>
      <w:r>
        <w:rPr>
          <w:noProof/>
        </w:rPr>
        <w:fldChar w:fldCharType="end"/>
      </w:r>
    </w:p>
    <w:p w14:paraId="019CAB30" w14:textId="77777777" w:rsidR="009179C5" w:rsidRDefault="009179C5">
      <w:pPr>
        <w:pStyle w:val="TOC3"/>
        <w:rPr>
          <w:noProof/>
        </w:rPr>
      </w:pPr>
      <w:r>
        <w:rPr>
          <w:noProof/>
          <w:lang w:eastAsia="en-US"/>
        </w:rPr>
        <w:t>Statistical Analysis</w:t>
      </w:r>
      <w:r>
        <w:rPr>
          <w:noProof/>
        </w:rPr>
        <w:tab/>
      </w:r>
      <w:r>
        <w:rPr>
          <w:noProof/>
        </w:rPr>
        <w:fldChar w:fldCharType="begin"/>
      </w:r>
      <w:r>
        <w:rPr>
          <w:noProof/>
        </w:rPr>
        <w:instrText xml:space="preserve"> PAGEREF _Toc257278839 \h </w:instrText>
      </w:r>
      <w:r>
        <w:rPr>
          <w:noProof/>
        </w:rPr>
      </w:r>
      <w:r>
        <w:rPr>
          <w:noProof/>
        </w:rPr>
        <w:fldChar w:fldCharType="separate"/>
      </w:r>
      <w:r>
        <w:rPr>
          <w:noProof/>
        </w:rPr>
        <w:t>120</w:t>
      </w:r>
      <w:r>
        <w:rPr>
          <w:noProof/>
        </w:rPr>
        <w:fldChar w:fldCharType="end"/>
      </w:r>
    </w:p>
    <w:p w14:paraId="725FF779" w14:textId="77777777" w:rsidR="009179C5" w:rsidRDefault="009179C5">
      <w:pPr>
        <w:pStyle w:val="TOC2"/>
        <w:tabs>
          <w:tab w:val="right" w:leader="dot" w:pos="8630"/>
        </w:tabs>
        <w:rPr>
          <w:noProof/>
        </w:rPr>
      </w:pPr>
      <w:r>
        <w:rPr>
          <w:noProof/>
        </w:rPr>
        <w:t>Results</w:t>
      </w:r>
      <w:r>
        <w:rPr>
          <w:noProof/>
        </w:rPr>
        <w:tab/>
      </w:r>
      <w:r>
        <w:rPr>
          <w:noProof/>
        </w:rPr>
        <w:fldChar w:fldCharType="begin"/>
      </w:r>
      <w:r>
        <w:rPr>
          <w:noProof/>
        </w:rPr>
        <w:instrText xml:space="preserve"> PAGEREF _Toc257278840 \h </w:instrText>
      </w:r>
      <w:r>
        <w:rPr>
          <w:noProof/>
        </w:rPr>
      </w:r>
      <w:r>
        <w:rPr>
          <w:noProof/>
        </w:rPr>
        <w:fldChar w:fldCharType="separate"/>
      </w:r>
      <w:r>
        <w:rPr>
          <w:noProof/>
        </w:rPr>
        <w:t>121</w:t>
      </w:r>
      <w:r>
        <w:rPr>
          <w:noProof/>
        </w:rPr>
        <w:fldChar w:fldCharType="end"/>
      </w:r>
    </w:p>
    <w:p w14:paraId="66A5DAA5" w14:textId="77777777" w:rsidR="009179C5" w:rsidRDefault="009179C5">
      <w:pPr>
        <w:pStyle w:val="TOC3"/>
        <w:rPr>
          <w:noProof/>
        </w:rPr>
      </w:pPr>
      <w:r>
        <w:rPr>
          <w:noProof/>
          <w:lang w:eastAsia="en-US"/>
        </w:rPr>
        <w:t>Glutathione S-transferase</w:t>
      </w:r>
      <w:r>
        <w:rPr>
          <w:noProof/>
        </w:rPr>
        <w:tab/>
      </w:r>
      <w:r>
        <w:rPr>
          <w:noProof/>
        </w:rPr>
        <w:fldChar w:fldCharType="begin"/>
      </w:r>
      <w:r>
        <w:rPr>
          <w:noProof/>
        </w:rPr>
        <w:instrText xml:space="preserve"> PAGEREF _Toc257278841 \h </w:instrText>
      </w:r>
      <w:r>
        <w:rPr>
          <w:noProof/>
        </w:rPr>
      </w:r>
      <w:r>
        <w:rPr>
          <w:noProof/>
        </w:rPr>
        <w:fldChar w:fldCharType="separate"/>
      </w:r>
      <w:r>
        <w:rPr>
          <w:noProof/>
        </w:rPr>
        <w:t>121</w:t>
      </w:r>
      <w:r>
        <w:rPr>
          <w:noProof/>
        </w:rPr>
        <w:fldChar w:fldCharType="end"/>
      </w:r>
    </w:p>
    <w:p w14:paraId="03C1DD03" w14:textId="77777777" w:rsidR="009179C5" w:rsidRDefault="009179C5">
      <w:pPr>
        <w:pStyle w:val="TOC3"/>
        <w:rPr>
          <w:noProof/>
        </w:rPr>
      </w:pPr>
      <w:r>
        <w:rPr>
          <w:noProof/>
          <w:lang w:eastAsia="en-US"/>
        </w:rPr>
        <w:t>Superoxide dismutase</w:t>
      </w:r>
      <w:r>
        <w:rPr>
          <w:noProof/>
        </w:rPr>
        <w:tab/>
      </w:r>
      <w:r>
        <w:rPr>
          <w:noProof/>
        </w:rPr>
        <w:fldChar w:fldCharType="begin"/>
      </w:r>
      <w:r>
        <w:rPr>
          <w:noProof/>
        </w:rPr>
        <w:instrText xml:space="preserve"> PAGEREF _Toc257278842 \h </w:instrText>
      </w:r>
      <w:r>
        <w:rPr>
          <w:noProof/>
        </w:rPr>
      </w:r>
      <w:r>
        <w:rPr>
          <w:noProof/>
        </w:rPr>
        <w:fldChar w:fldCharType="separate"/>
      </w:r>
      <w:r>
        <w:rPr>
          <w:noProof/>
        </w:rPr>
        <w:t>122</w:t>
      </w:r>
      <w:r>
        <w:rPr>
          <w:noProof/>
        </w:rPr>
        <w:fldChar w:fldCharType="end"/>
      </w:r>
    </w:p>
    <w:p w14:paraId="3F48733D" w14:textId="77777777" w:rsidR="009179C5" w:rsidRDefault="009179C5">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_Toc257278843 \h </w:instrText>
      </w:r>
      <w:r>
        <w:rPr>
          <w:noProof/>
        </w:rPr>
      </w:r>
      <w:r>
        <w:rPr>
          <w:noProof/>
        </w:rPr>
        <w:fldChar w:fldCharType="separate"/>
      </w:r>
      <w:r>
        <w:rPr>
          <w:noProof/>
        </w:rPr>
        <w:t>122</w:t>
      </w:r>
      <w:r>
        <w:rPr>
          <w:noProof/>
        </w:rPr>
        <w:fldChar w:fldCharType="end"/>
      </w:r>
    </w:p>
    <w:p w14:paraId="5979B902" w14:textId="77777777" w:rsidR="009179C5" w:rsidRDefault="009179C5">
      <w:pPr>
        <w:pStyle w:val="TOC2"/>
        <w:tabs>
          <w:tab w:val="right" w:leader="dot" w:pos="8630"/>
        </w:tabs>
        <w:rPr>
          <w:noProof/>
        </w:rPr>
      </w:pPr>
      <w:r>
        <w:rPr>
          <w:noProof/>
          <w:lang w:eastAsia="en-US"/>
        </w:rPr>
        <w:t>Figures</w:t>
      </w:r>
      <w:r>
        <w:rPr>
          <w:noProof/>
        </w:rPr>
        <w:tab/>
      </w:r>
      <w:r>
        <w:rPr>
          <w:noProof/>
        </w:rPr>
        <w:fldChar w:fldCharType="begin"/>
      </w:r>
      <w:r>
        <w:rPr>
          <w:noProof/>
        </w:rPr>
        <w:instrText xml:space="preserve"> PAGEREF _Toc257278844 \h </w:instrText>
      </w:r>
      <w:r>
        <w:rPr>
          <w:noProof/>
        </w:rPr>
      </w:r>
      <w:r>
        <w:rPr>
          <w:noProof/>
        </w:rPr>
        <w:fldChar w:fldCharType="separate"/>
      </w:r>
      <w:r>
        <w:rPr>
          <w:noProof/>
        </w:rPr>
        <w:t>124</w:t>
      </w:r>
      <w:r>
        <w:rPr>
          <w:noProof/>
        </w:rPr>
        <w:fldChar w:fldCharType="end"/>
      </w:r>
    </w:p>
    <w:p w14:paraId="2DBB775E" w14:textId="77777777" w:rsidR="009179C5" w:rsidRDefault="009179C5">
      <w:pPr>
        <w:pStyle w:val="TOC2"/>
        <w:tabs>
          <w:tab w:val="right" w:leader="dot" w:pos="8630"/>
        </w:tabs>
        <w:rPr>
          <w:noProof/>
        </w:rPr>
      </w:pPr>
      <w:r>
        <w:rPr>
          <w:noProof/>
          <w:lang w:eastAsia="en-US"/>
        </w:rPr>
        <w:t>Supplementary Information</w:t>
      </w:r>
      <w:r>
        <w:rPr>
          <w:noProof/>
        </w:rPr>
        <w:tab/>
      </w:r>
      <w:r>
        <w:rPr>
          <w:noProof/>
        </w:rPr>
        <w:fldChar w:fldCharType="begin"/>
      </w:r>
      <w:r>
        <w:rPr>
          <w:noProof/>
        </w:rPr>
        <w:instrText xml:space="preserve"> PAGEREF _Toc257278845 \h </w:instrText>
      </w:r>
      <w:r>
        <w:rPr>
          <w:noProof/>
        </w:rPr>
      </w:r>
      <w:r>
        <w:rPr>
          <w:noProof/>
        </w:rPr>
        <w:fldChar w:fldCharType="separate"/>
      </w:r>
      <w:r>
        <w:rPr>
          <w:noProof/>
        </w:rPr>
        <w:t>126</w:t>
      </w:r>
      <w:r>
        <w:rPr>
          <w:noProof/>
        </w:rPr>
        <w:fldChar w:fldCharType="end"/>
      </w:r>
    </w:p>
    <w:p w14:paraId="0BDF0B5F" w14:textId="77777777" w:rsidR="009179C5" w:rsidRDefault="009179C5">
      <w:pPr>
        <w:pStyle w:val="TOC2"/>
        <w:tabs>
          <w:tab w:val="right" w:leader="dot" w:pos="8630"/>
        </w:tabs>
        <w:rPr>
          <w:noProof/>
        </w:rPr>
      </w:pPr>
      <w:r>
        <w:rPr>
          <w:noProof/>
          <w:lang w:eastAsia="en-US"/>
        </w:rPr>
        <w:t>Works Cited</w:t>
      </w:r>
      <w:r>
        <w:rPr>
          <w:noProof/>
        </w:rPr>
        <w:tab/>
      </w:r>
      <w:r>
        <w:rPr>
          <w:noProof/>
        </w:rPr>
        <w:fldChar w:fldCharType="begin"/>
      </w:r>
      <w:r>
        <w:rPr>
          <w:noProof/>
        </w:rPr>
        <w:instrText xml:space="preserve"> PAGEREF _Toc257278846 \h </w:instrText>
      </w:r>
      <w:r>
        <w:rPr>
          <w:noProof/>
        </w:rPr>
      </w:r>
      <w:r>
        <w:rPr>
          <w:noProof/>
        </w:rPr>
        <w:fldChar w:fldCharType="separate"/>
      </w:r>
      <w:r>
        <w:rPr>
          <w:noProof/>
        </w:rPr>
        <w:t>126</w:t>
      </w:r>
      <w:r>
        <w:rPr>
          <w:noProof/>
        </w:rPr>
        <w:fldChar w:fldCharType="end"/>
      </w:r>
    </w:p>
    <w:p w14:paraId="06C3F429" w14:textId="77777777" w:rsidR="009179C5" w:rsidRDefault="009179C5">
      <w:pPr>
        <w:pStyle w:val="TOC1"/>
        <w:tabs>
          <w:tab w:val="right" w:leader="dot" w:pos="8630"/>
        </w:tabs>
        <w:rPr>
          <w:noProof/>
        </w:rPr>
      </w:pPr>
      <w:r>
        <w:rPr>
          <w:noProof/>
        </w:rPr>
        <w:t xml:space="preserve">Appendix B: Histological Investigations into the Effects of </w:t>
      </w:r>
      <w:r w:rsidRPr="00F239C2">
        <w:rPr>
          <w:i/>
          <w:noProof/>
        </w:rPr>
        <w:t>p</w:t>
      </w:r>
      <w:r>
        <w:rPr>
          <w:noProof/>
        </w:rPr>
        <w:t>CO</w:t>
      </w:r>
      <w:r w:rsidRPr="00F239C2">
        <w:rPr>
          <w:noProof/>
          <w:vertAlign w:val="subscript"/>
        </w:rPr>
        <w:t>2</w:t>
      </w:r>
      <w:r>
        <w:rPr>
          <w:noProof/>
        </w:rPr>
        <w:t xml:space="preserve"> and a second stressor in Pacific Oysters</w:t>
      </w:r>
      <w:r>
        <w:rPr>
          <w:noProof/>
        </w:rPr>
        <w:tab/>
      </w:r>
      <w:r>
        <w:rPr>
          <w:noProof/>
        </w:rPr>
        <w:fldChar w:fldCharType="begin"/>
      </w:r>
      <w:r>
        <w:rPr>
          <w:noProof/>
        </w:rPr>
        <w:instrText xml:space="preserve"> PAGEREF _Toc257278847 \h </w:instrText>
      </w:r>
      <w:r>
        <w:rPr>
          <w:noProof/>
        </w:rPr>
      </w:r>
      <w:r>
        <w:rPr>
          <w:noProof/>
        </w:rPr>
        <w:fldChar w:fldCharType="separate"/>
      </w:r>
      <w:r>
        <w:rPr>
          <w:noProof/>
        </w:rPr>
        <w:t>130</w:t>
      </w:r>
      <w:r>
        <w:rPr>
          <w:noProof/>
        </w:rPr>
        <w:fldChar w:fldCharType="end"/>
      </w:r>
    </w:p>
    <w:p w14:paraId="267A88A9" w14:textId="77777777" w:rsidR="009179C5" w:rsidRDefault="009179C5">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_Toc257278848 \h </w:instrText>
      </w:r>
      <w:r>
        <w:rPr>
          <w:noProof/>
        </w:rPr>
      </w:r>
      <w:r>
        <w:rPr>
          <w:noProof/>
        </w:rPr>
        <w:fldChar w:fldCharType="separate"/>
      </w:r>
      <w:r>
        <w:rPr>
          <w:noProof/>
        </w:rPr>
        <w:t>130</w:t>
      </w:r>
      <w:r>
        <w:rPr>
          <w:noProof/>
        </w:rPr>
        <w:fldChar w:fldCharType="end"/>
      </w:r>
    </w:p>
    <w:p w14:paraId="45D984F9" w14:textId="77777777" w:rsidR="009179C5" w:rsidRDefault="009179C5">
      <w:pPr>
        <w:pStyle w:val="TOC2"/>
        <w:tabs>
          <w:tab w:val="right" w:leader="dot" w:pos="8630"/>
        </w:tabs>
        <w:rPr>
          <w:noProof/>
        </w:rPr>
      </w:pPr>
      <w:r>
        <w:rPr>
          <w:noProof/>
        </w:rPr>
        <w:t>Materials and Methods</w:t>
      </w:r>
      <w:r>
        <w:rPr>
          <w:noProof/>
        </w:rPr>
        <w:tab/>
      </w:r>
      <w:r>
        <w:rPr>
          <w:noProof/>
        </w:rPr>
        <w:fldChar w:fldCharType="begin"/>
      </w:r>
      <w:r>
        <w:rPr>
          <w:noProof/>
        </w:rPr>
        <w:instrText xml:space="preserve"> PAGEREF _Toc257278849 \h </w:instrText>
      </w:r>
      <w:r>
        <w:rPr>
          <w:noProof/>
        </w:rPr>
      </w:r>
      <w:r>
        <w:rPr>
          <w:noProof/>
        </w:rPr>
        <w:fldChar w:fldCharType="separate"/>
      </w:r>
      <w:r>
        <w:rPr>
          <w:noProof/>
        </w:rPr>
        <w:t>131</w:t>
      </w:r>
      <w:r>
        <w:rPr>
          <w:noProof/>
        </w:rPr>
        <w:fldChar w:fldCharType="end"/>
      </w:r>
    </w:p>
    <w:p w14:paraId="44CF2C88" w14:textId="77777777" w:rsidR="009179C5" w:rsidRDefault="009179C5">
      <w:pPr>
        <w:pStyle w:val="TOC2"/>
        <w:tabs>
          <w:tab w:val="right" w:leader="dot" w:pos="8630"/>
        </w:tabs>
        <w:rPr>
          <w:noProof/>
        </w:rPr>
      </w:pPr>
      <w:r>
        <w:rPr>
          <w:noProof/>
        </w:rPr>
        <w:t>Results</w:t>
      </w:r>
      <w:r>
        <w:rPr>
          <w:noProof/>
        </w:rPr>
        <w:tab/>
      </w:r>
      <w:r>
        <w:rPr>
          <w:noProof/>
        </w:rPr>
        <w:fldChar w:fldCharType="begin"/>
      </w:r>
      <w:r>
        <w:rPr>
          <w:noProof/>
        </w:rPr>
        <w:instrText xml:space="preserve"> PAGEREF _Toc257278850 \h </w:instrText>
      </w:r>
      <w:r>
        <w:rPr>
          <w:noProof/>
        </w:rPr>
      </w:r>
      <w:r>
        <w:rPr>
          <w:noProof/>
        </w:rPr>
        <w:fldChar w:fldCharType="separate"/>
      </w:r>
      <w:r>
        <w:rPr>
          <w:noProof/>
        </w:rPr>
        <w:t>131</w:t>
      </w:r>
      <w:r>
        <w:rPr>
          <w:noProof/>
        </w:rPr>
        <w:fldChar w:fldCharType="end"/>
      </w:r>
    </w:p>
    <w:p w14:paraId="5AEC42B5" w14:textId="77777777" w:rsidR="009179C5" w:rsidRDefault="009179C5">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_Toc257278851 \h </w:instrText>
      </w:r>
      <w:r>
        <w:rPr>
          <w:noProof/>
        </w:rPr>
      </w:r>
      <w:r>
        <w:rPr>
          <w:noProof/>
        </w:rPr>
        <w:fldChar w:fldCharType="separate"/>
      </w:r>
      <w:r>
        <w:rPr>
          <w:noProof/>
        </w:rPr>
        <w:t>131</w:t>
      </w:r>
      <w:r>
        <w:rPr>
          <w:noProof/>
        </w:rPr>
        <w:fldChar w:fldCharType="end"/>
      </w:r>
    </w:p>
    <w:p w14:paraId="34C809C6" w14:textId="77777777" w:rsidR="009179C5" w:rsidRDefault="009179C5">
      <w:pPr>
        <w:pStyle w:val="TOC2"/>
        <w:tabs>
          <w:tab w:val="right" w:leader="dot" w:pos="8630"/>
        </w:tabs>
        <w:rPr>
          <w:noProof/>
        </w:rPr>
      </w:pPr>
      <w:r>
        <w:rPr>
          <w:noProof/>
        </w:rPr>
        <w:t>Figures</w:t>
      </w:r>
      <w:r>
        <w:rPr>
          <w:noProof/>
        </w:rPr>
        <w:tab/>
      </w:r>
      <w:r>
        <w:rPr>
          <w:noProof/>
        </w:rPr>
        <w:fldChar w:fldCharType="begin"/>
      </w:r>
      <w:r>
        <w:rPr>
          <w:noProof/>
        </w:rPr>
        <w:instrText xml:space="preserve"> PAGEREF _Toc257278852 \h </w:instrText>
      </w:r>
      <w:r>
        <w:rPr>
          <w:noProof/>
        </w:rPr>
      </w:r>
      <w:r>
        <w:rPr>
          <w:noProof/>
        </w:rPr>
        <w:fldChar w:fldCharType="separate"/>
      </w:r>
      <w:r>
        <w:rPr>
          <w:noProof/>
        </w:rPr>
        <w:t>133</w:t>
      </w:r>
      <w:r>
        <w:rPr>
          <w:noProof/>
        </w:rPr>
        <w:fldChar w:fldCharType="end"/>
      </w:r>
    </w:p>
    <w:p w14:paraId="792BB99B" w14:textId="77777777" w:rsidR="009179C5" w:rsidRDefault="009179C5">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_Toc257278853 \h </w:instrText>
      </w:r>
      <w:r>
        <w:rPr>
          <w:noProof/>
        </w:rPr>
      </w:r>
      <w:r>
        <w:rPr>
          <w:noProof/>
        </w:rPr>
        <w:fldChar w:fldCharType="separate"/>
      </w:r>
      <w:r>
        <w:rPr>
          <w:noProof/>
        </w:rPr>
        <w:t>134</w:t>
      </w:r>
      <w:r>
        <w:rPr>
          <w:noProof/>
        </w:rPr>
        <w:fldChar w:fldCharType="end"/>
      </w:r>
    </w:p>
    <w:p w14:paraId="1D7C76DB" w14:textId="77777777" w:rsidR="009179C5" w:rsidRDefault="009179C5">
      <w:pPr>
        <w:pStyle w:val="TOC1"/>
        <w:tabs>
          <w:tab w:val="right" w:leader="dot" w:pos="8630"/>
        </w:tabs>
        <w:rPr>
          <w:noProof/>
        </w:rPr>
      </w:pPr>
      <w:r>
        <w:rPr>
          <w:noProof/>
        </w:rPr>
        <w:t xml:space="preserve">Appendix C: List of Samples from 1 Week and 1 Month Elevated </w:t>
      </w:r>
      <w:r w:rsidRPr="00F239C2">
        <w:rPr>
          <w:i/>
          <w:noProof/>
        </w:rPr>
        <w:t>p</w:t>
      </w:r>
      <w:r>
        <w:rPr>
          <w:noProof/>
        </w:rPr>
        <w:t>CO</w:t>
      </w:r>
      <w:r w:rsidRPr="00F239C2">
        <w:rPr>
          <w:noProof/>
          <w:vertAlign w:val="subscript"/>
        </w:rPr>
        <w:t>2</w:t>
      </w:r>
      <w:r>
        <w:rPr>
          <w:noProof/>
        </w:rPr>
        <w:t xml:space="preserve"> Exposures</w:t>
      </w:r>
      <w:r>
        <w:rPr>
          <w:noProof/>
        </w:rPr>
        <w:tab/>
      </w:r>
      <w:r>
        <w:rPr>
          <w:noProof/>
        </w:rPr>
        <w:fldChar w:fldCharType="begin"/>
      </w:r>
      <w:r>
        <w:rPr>
          <w:noProof/>
        </w:rPr>
        <w:instrText xml:space="preserve"> PAGEREF _Toc257278854 \h </w:instrText>
      </w:r>
      <w:r>
        <w:rPr>
          <w:noProof/>
        </w:rPr>
      </w:r>
      <w:r>
        <w:rPr>
          <w:noProof/>
        </w:rPr>
        <w:fldChar w:fldCharType="separate"/>
      </w:r>
      <w:r>
        <w:rPr>
          <w:noProof/>
        </w:rPr>
        <w:t>136</w:t>
      </w:r>
      <w:r>
        <w:rPr>
          <w:noProof/>
        </w:rPr>
        <w:fldChar w:fldCharType="end"/>
      </w:r>
    </w:p>
    <w:p w14:paraId="45D2BE3B" w14:textId="350C1D6B" w:rsidR="00DF70F0" w:rsidRDefault="009179C5">
      <w:r>
        <w:rPr>
          <w:rFonts w:ascii="Times" w:hAnsi="Times"/>
        </w:rPr>
        <w:fldChar w:fldCharType="end"/>
      </w:r>
    </w:p>
    <w:p w14:paraId="40D8BA45" w14:textId="77777777" w:rsidR="00C02D9B" w:rsidRDefault="00C02D9B"/>
    <w:p w14:paraId="556EC4ED" w14:textId="77777777" w:rsidR="00C02D9B" w:rsidRDefault="00C02D9B" w:rsidP="00C02D9B">
      <w:pPr>
        <w:pStyle w:val="Heading1"/>
      </w:pPr>
      <w:bookmarkStart w:id="3" w:name="_Toc257278758"/>
      <w:r>
        <w:t>List of Figures</w:t>
      </w:r>
      <w:bookmarkEnd w:id="3"/>
    </w:p>
    <w:p w14:paraId="674DE0FA" w14:textId="77777777" w:rsidR="005643FD" w:rsidRPr="005643FD" w:rsidRDefault="005643FD" w:rsidP="005643FD"/>
    <w:p w14:paraId="68FC26A7" w14:textId="53903AE2" w:rsidR="00ED7FBC" w:rsidRPr="00511229" w:rsidRDefault="00ED7FBC" w:rsidP="00ED7FBC">
      <w:pPr>
        <w:rPr>
          <w:rFonts w:ascii="Times" w:hAnsi="Times"/>
        </w:rPr>
      </w:pPr>
      <w:r w:rsidRPr="00511229">
        <w:rPr>
          <w:rFonts w:ascii="Times" w:hAnsi="Times"/>
        </w:rPr>
        <w:t>I.1. Representative photographs of D-hinge larval shells under polarized light</w:t>
      </w:r>
      <w:r w:rsidR="001C03BF" w:rsidRPr="00511229">
        <w:rPr>
          <w:rFonts w:ascii="Times" w:hAnsi="Times"/>
        </w:rPr>
        <w:t>..........</w:t>
      </w:r>
      <w:r w:rsidR="00177103">
        <w:rPr>
          <w:rFonts w:ascii="Times" w:hAnsi="Times"/>
        </w:rPr>
        <w:t>......</w:t>
      </w:r>
      <w:r w:rsidR="00C26D9D">
        <w:rPr>
          <w:rFonts w:ascii="Times" w:hAnsi="Times"/>
        </w:rPr>
        <w:t>3</w:t>
      </w:r>
      <w:r w:rsidR="009179C5">
        <w:rPr>
          <w:rFonts w:ascii="Times" w:hAnsi="Times"/>
        </w:rPr>
        <w:t>8</w:t>
      </w:r>
    </w:p>
    <w:p w14:paraId="3999096A" w14:textId="77777777" w:rsidR="005643FD" w:rsidRPr="00511229" w:rsidRDefault="005643FD" w:rsidP="00ED7FBC">
      <w:pPr>
        <w:rPr>
          <w:rFonts w:ascii="Times" w:hAnsi="Times"/>
        </w:rPr>
      </w:pPr>
    </w:p>
    <w:p w14:paraId="2C63CFA0" w14:textId="4A87D003" w:rsidR="00ED7FBC" w:rsidRPr="00511229" w:rsidRDefault="00ED7FBC" w:rsidP="00ED7FBC">
      <w:pPr>
        <w:rPr>
          <w:rFonts w:ascii="Times" w:hAnsi="Times"/>
        </w:rPr>
      </w:pPr>
      <w:r w:rsidRPr="00511229">
        <w:rPr>
          <w:rFonts w:ascii="Times" w:hAnsi="Times"/>
        </w:rPr>
        <w:t xml:space="preserve">I.2. pH profiles as measured by DuraFET probes for the three </w:t>
      </w:r>
      <w:r w:rsidRPr="00511229">
        <w:rPr>
          <w:rFonts w:ascii="Times" w:hAnsi="Times"/>
          <w:i/>
        </w:rPr>
        <w:t>p</w:t>
      </w:r>
      <w:r w:rsidRPr="00511229">
        <w:rPr>
          <w:rFonts w:ascii="Times" w:hAnsi="Times"/>
        </w:rPr>
        <w:t>CO</w:t>
      </w:r>
      <w:r w:rsidRPr="00511229">
        <w:rPr>
          <w:rFonts w:ascii="Times" w:hAnsi="Times"/>
          <w:vertAlign w:val="subscript"/>
        </w:rPr>
        <w:t>2</w:t>
      </w:r>
      <w:r w:rsidRPr="00511229">
        <w:rPr>
          <w:rFonts w:ascii="Times" w:hAnsi="Times"/>
        </w:rPr>
        <w:t xml:space="preserve"> treatments</w:t>
      </w:r>
      <w:r w:rsidR="001C03BF" w:rsidRPr="00511229">
        <w:rPr>
          <w:rFonts w:ascii="Times" w:hAnsi="Times"/>
        </w:rPr>
        <w:t>........</w:t>
      </w:r>
      <w:r w:rsidR="00177103">
        <w:rPr>
          <w:rFonts w:ascii="Times" w:hAnsi="Times"/>
        </w:rPr>
        <w:t>......</w:t>
      </w:r>
      <w:r w:rsidR="009179C5">
        <w:rPr>
          <w:rFonts w:ascii="Times" w:hAnsi="Times"/>
        </w:rPr>
        <w:t>38</w:t>
      </w:r>
    </w:p>
    <w:p w14:paraId="3F0AFF2D" w14:textId="77777777" w:rsidR="005643FD" w:rsidRPr="00511229" w:rsidRDefault="005643FD" w:rsidP="00ED7FBC">
      <w:pPr>
        <w:rPr>
          <w:rFonts w:ascii="Times" w:hAnsi="Times"/>
        </w:rPr>
      </w:pPr>
    </w:p>
    <w:p w14:paraId="335DADC3" w14:textId="60FB2E15" w:rsidR="00ED7FBC" w:rsidRPr="00511229" w:rsidRDefault="00ED7FBC" w:rsidP="00ED7FBC">
      <w:pPr>
        <w:rPr>
          <w:rFonts w:ascii="Times" w:hAnsi="Times"/>
        </w:rPr>
      </w:pPr>
      <w:r w:rsidRPr="00511229">
        <w:rPr>
          <w:rFonts w:ascii="Times" w:hAnsi="Times"/>
        </w:rPr>
        <w:t xml:space="preserve">I.3. Proportion of larvae with calcified material at three different </w:t>
      </w:r>
      <w:r w:rsidRPr="00511229">
        <w:rPr>
          <w:rFonts w:ascii="Times" w:hAnsi="Times"/>
          <w:i/>
        </w:rPr>
        <w:t>p</w:t>
      </w:r>
      <w:r w:rsidRPr="00511229">
        <w:rPr>
          <w:rFonts w:ascii="Times" w:hAnsi="Times"/>
        </w:rPr>
        <w:t>CO</w:t>
      </w:r>
      <w:r w:rsidRPr="00511229">
        <w:rPr>
          <w:rFonts w:ascii="Times" w:hAnsi="Times"/>
          <w:vertAlign w:val="subscript"/>
        </w:rPr>
        <w:t>2</w:t>
      </w:r>
      <w:r w:rsidR="00177103">
        <w:rPr>
          <w:rFonts w:ascii="Times" w:hAnsi="Times"/>
        </w:rPr>
        <w:t xml:space="preserve"> on days 1 and 3 post-</w:t>
      </w:r>
      <w:r w:rsidRPr="00511229">
        <w:rPr>
          <w:rFonts w:ascii="Times" w:hAnsi="Times"/>
        </w:rPr>
        <w:t>fertilization</w:t>
      </w:r>
      <w:r w:rsidR="001C03BF" w:rsidRPr="00511229">
        <w:rPr>
          <w:rFonts w:ascii="Times" w:hAnsi="Times"/>
        </w:rPr>
        <w:t>...................................................................................................</w:t>
      </w:r>
      <w:r w:rsidR="00177103">
        <w:rPr>
          <w:rFonts w:ascii="Times" w:hAnsi="Times"/>
        </w:rPr>
        <w:t>..............</w:t>
      </w:r>
      <w:r w:rsidR="009179C5">
        <w:rPr>
          <w:rFonts w:ascii="Times" w:hAnsi="Times"/>
        </w:rPr>
        <w:t>39</w:t>
      </w:r>
    </w:p>
    <w:p w14:paraId="23EC28C2" w14:textId="77777777" w:rsidR="005643FD" w:rsidRPr="00511229" w:rsidRDefault="005643FD" w:rsidP="00ED7FBC">
      <w:pPr>
        <w:rPr>
          <w:rFonts w:ascii="Times" w:hAnsi="Times"/>
        </w:rPr>
      </w:pPr>
    </w:p>
    <w:p w14:paraId="48B78001" w14:textId="378E12EC" w:rsidR="00ED7FBC" w:rsidRPr="00511229" w:rsidRDefault="00ED7FBC" w:rsidP="00ED7FBC">
      <w:pPr>
        <w:rPr>
          <w:rFonts w:ascii="Times" w:hAnsi="Times"/>
        </w:rPr>
      </w:pPr>
      <w:r w:rsidRPr="00511229">
        <w:rPr>
          <w:rFonts w:ascii="Times" w:hAnsi="Times"/>
        </w:rPr>
        <w:t xml:space="preserve">I.4. Hinge length of larvae at three different </w:t>
      </w:r>
      <w:r w:rsidRPr="00511229">
        <w:rPr>
          <w:rFonts w:ascii="Times" w:hAnsi="Times"/>
          <w:i/>
        </w:rPr>
        <w:t>p</w:t>
      </w:r>
      <w:r w:rsidRPr="00511229">
        <w:rPr>
          <w:rFonts w:ascii="Times" w:hAnsi="Times"/>
        </w:rPr>
        <w:t>CO</w:t>
      </w:r>
      <w:r w:rsidRPr="00511229">
        <w:rPr>
          <w:rFonts w:ascii="Times" w:hAnsi="Times"/>
          <w:vertAlign w:val="subscript"/>
        </w:rPr>
        <w:t>2</w:t>
      </w:r>
      <w:r w:rsidR="00177103">
        <w:rPr>
          <w:rFonts w:ascii="Times" w:hAnsi="Times"/>
        </w:rPr>
        <w:t xml:space="preserve"> on days 1 and 3 post-</w:t>
      </w:r>
      <w:r w:rsidRPr="00511229">
        <w:rPr>
          <w:rFonts w:ascii="Times" w:hAnsi="Times"/>
        </w:rPr>
        <w:t>fertilization</w:t>
      </w:r>
      <w:r w:rsidR="00177103">
        <w:rPr>
          <w:rFonts w:ascii="Times" w:hAnsi="Times"/>
        </w:rPr>
        <w:t>.....................................................</w:t>
      </w:r>
      <w:r w:rsidR="001C03BF" w:rsidRPr="00511229">
        <w:rPr>
          <w:rFonts w:ascii="Times" w:hAnsi="Times"/>
        </w:rPr>
        <w:t>.................................................</w:t>
      </w:r>
      <w:r w:rsidR="00177103">
        <w:rPr>
          <w:rFonts w:ascii="Times" w:hAnsi="Times"/>
        </w:rPr>
        <w:t>...................</w:t>
      </w:r>
      <w:r w:rsidR="009179C5">
        <w:rPr>
          <w:rFonts w:ascii="Times" w:hAnsi="Times"/>
        </w:rPr>
        <w:t>40</w:t>
      </w:r>
    </w:p>
    <w:p w14:paraId="35E451ED" w14:textId="77777777" w:rsidR="005643FD" w:rsidRPr="00511229" w:rsidRDefault="005643FD" w:rsidP="00ED7FBC">
      <w:pPr>
        <w:rPr>
          <w:rFonts w:ascii="Times" w:hAnsi="Times"/>
        </w:rPr>
      </w:pPr>
    </w:p>
    <w:p w14:paraId="7C28C221" w14:textId="12D23FA6" w:rsidR="00ED7FBC" w:rsidRPr="00511229" w:rsidRDefault="00ED7FBC" w:rsidP="00ED7FBC">
      <w:pPr>
        <w:rPr>
          <w:rFonts w:ascii="Times" w:hAnsi="Times"/>
        </w:rPr>
      </w:pPr>
      <w:r w:rsidRPr="00511229">
        <w:rPr>
          <w:rFonts w:ascii="Times" w:hAnsi="Times"/>
        </w:rPr>
        <w:t xml:space="preserve">I.5. Shell height of larvae at three different </w:t>
      </w:r>
      <w:r w:rsidRPr="00511229">
        <w:rPr>
          <w:rFonts w:ascii="Times" w:hAnsi="Times"/>
          <w:i/>
        </w:rPr>
        <w:t>p</w:t>
      </w:r>
      <w:r w:rsidRPr="00511229">
        <w:rPr>
          <w:rFonts w:ascii="Times" w:hAnsi="Times"/>
        </w:rPr>
        <w:t>CO</w:t>
      </w:r>
      <w:r w:rsidRPr="00511229">
        <w:rPr>
          <w:rFonts w:ascii="Times" w:hAnsi="Times"/>
          <w:vertAlign w:val="subscript"/>
        </w:rPr>
        <w:t>2</w:t>
      </w:r>
      <w:r w:rsidRPr="00511229">
        <w:rPr>
          <w:rFonts w:ascii="Times" w:hAnsi="Times"/>
        </w:rPr>
        <w:t xml:space="preserve"> on days 1 and 3 post-fertilization</w:t>
      </w:r>
      <w:r w:rsidR="001C03BF" w:rsidRPr="00511229">
        <w:rPr>
          <w:rFonts w:ascii="Times" w:hAnsi="Times"/>
        </w:rPr>
        <w:t>.................................................................................................................</w:t>
      </w:r>
      <w:r w:rsidR="00177103">
        <w:rPr>
          <w:rFonts w:ascii="Times" w:hAnsi="Times"/>
        </w:rPr>
        <w:t>........</w:t>
      </w:r>
      <w:r w:rsidR="009179C5">
        <w:rPr>
          <w:rFonts w:ascii="Times" w:hAnsi="Times"/>
        </w:rPr>
        <w:t>41</w:t>
      </w:r>
    </w:p>
    <w:p w14:paraId="7542D1A7" w14:textId="77777777" w:rsidR="005643FD" w:rsidRPr="00511229" w:rsidRDefault="005643FD" w:rsidP="00ED7FBC">
      <w:pPr>
        <w:rPr>
          <w:rFonts w:ascii="Times" w:hAnsi="Times"/>
        </w:rPr>
      </w:pPr>
    </w:p>
    <w:p w14:paraId="624216AA" w14:textId="0BDDAC78" w:rsidR="00ED7FBC" w:rsidRPr="00511229" w:rsidRDefault="00ED7FBC" w:rsidP="00ED7FBC">
      <w:pPr>
        <w:rPr>
          <w:rFonts w:ascii="Times" w:hAnsi="Times"/>
        </w:rPr>
      </w:pPr>
      <w:r w:rsidRPr="00511229">
        <w:rPr>
          <w:rFonts w:ascii="Times" w:hAnsi="Times"/>
        </w:rPr>
        <w:t xml:space="preserve">I.6. Larval shell height plotted against hinge length with linear regression lines to demonstrate growth trajectories across different </w:t>
      </w:r>
      <w:r w:rsidRPr="00511229">
        <w:rPr>
          <w:rFonts w:ascii="Times" w:hAnsi="Times"/>
          <w:i/>
        </w:rPr>
        <w:t>p</w:t>
      </w:r>
      <w:r w:rsidRPr="00511229">
        <w:rPr>
          <w:rFonts w:ascii="Times" w:hAnsi="Times"/>
        </w:rPr>
        <w:t>CO</w:t>
      </w:r>
      <w:r w:rsidRPr="00511229">
        <w:rPr>
          <w:rFonts w:ascii="Times" w:hAnsi="Times"/>
          <w:vertAlign w:val="subscript"/>
        </w:rPr>
        <w:t>2</w:t>
      </w:r>
      <w:r w:rsidRPr="00511229">
        <w:rPr>
          <w:rFonts w:ascii="Times" w:hAnsi="Times"/>
        </w:rPr>
        <w:t xml:space="preserve"> treatments</w:t>
      </w:r>
      <w:r w:rsidR="001C03BF" w:rsidRPr="00511229">
        <w:rPr>
          <w:rFonts w:ascii="Times" w:hAnsi="Times"/>
        </w:rPr>
        <w:t>.................................</w:t>
      </w:r>
      <w:r w:rsidR="00177103">
        <w:rPr>
          <w:rFonts w:ascii="Times" w:hAnsi="Times"/>
        </w:rPr>
        <w:t>...</w:t>
      </w:r>
      <w:r w:rsidR="009179C5">
        <w:rPr>
          <w:rFonts w:ascii="Times" w:hAnsi="Times"/>
        </w:rPr>
        <w:t>42</w:t>
      </w:r>
    </w:p>
    <w:p w14:paraId="1F71FC1D" w14:textId="77777777" w:rsidR="005643FD" w:rsidRPr="00511229" w:rsidRDefault="005643FD" w:rsidP="00ED7FBC">
      <w:pPr>
        <w:rPr>
          <w:rFonts w:ascii="Times" w:hAnsi="Times"/>
        </w:rPr>
      </w:pPr>
    </w:p>
    <w:p w14:paraId="0468F667" w14:textId="52A9C704" w:rsidR="00ED7FBC" w:rsidRPr="00511229" w:rsidRDefault="00ED7FBC" w:rsidP="00ED7FBC">
      <w:pPr>
        <w:rPr>
          <w:rFonts w:ascii="Times" w:hAnsi="Times"/>
        </w:rPr>
      </w:pPr>
      <w:r w:rsidRPr="00511229">
        <w:rPr>
          <w:rFonts w:ascii="Times" w:hAnsi="Times"/>
        </w:rPr>
        <w:t>II.1. Protein spec</w:t>
      </w:r>
      <w:r w:rsidR="00177103">
        <w:rPr>
          <w:rFonts w:ascii="Times" w:hAnsi="Times"/>
        </w:rPr>
        <w:t>tral counts for three technical replicates...................</w:t>
      </w:r>
      <w:r w:rsidR="009179C5">
        <w:rPr>
          <w:rFonts w:ascii="Times" w:hAnsi="Times"/>
        </w:rPr>
        <w:t>..............................60</w:t>
      </w:r>
    </w:p>
    <w:p w14:paraId="72E1B588" w14:textId="77777777" w:rsidR="005643FD" w:rsidRPr="00511229" w:rsidRDefault="005643FD" w:rsidP="00ED7FBC">
      <w:pPr>
        <w:rPr>
          <w:rFonts w:ascii="Times" w:hAnsi="Times"/>
        </w:rPr>
      </w:pPr>
    </w:p>
    <w:p w14:paraId="49C17A86" w14:textId="298C6F28" w:rsidR="00ED7FBC" w:rsidRPr="00511229" w:rsidRDefault="00ED7FBC" w:rsidP="00ED7FBC">
      <w:pPr>
        <w:rPr>
          <w:rFonts w:ascii="Times" w:hAnsi="Times"/>
        </w:rPr>
      </w:pPr>
      <w:r w:rsidRPr="00511229">
        <w:rPr>
          <w:rFonts w:ascii="Times" w:hAnsi="Times"/>
        </w:rPr>
        <w:t>II.2. Venn diagram showing overlap in proteins identified across four oysters</w:t>
      </w:r>
      <w:r w:rsidR="001C03BF" w:rsidRPr="00511229">
        <w:rPr>
          <w:rFonts w:ascii="Times" w:hAnsi="Times"/>
        </w:rPr>
        <w:t>..........</w:t>
      </w:r>
      <w:r w:rsidR="00177103">
        <w:rPr>
          <w:rFonts w:ascii="Times" w:hAnsi="Times"/>
        </w:rPr>
        <w:t>......</w:t>
      </w:r>
      <w:r w:rsidR="009179C5">
        <w:rPr>
          <w:rFonts w:ascii="Times" w:hAnsi="Times"/>
        </w:rPr>
        <w:t>61</w:t>
      </w:r>
    </w:p>
    <w:p w14:paraId="57FE09CE" w14:textId="77777777" w:rsidR="005643FD" w:rsidRPr="00511229" w:rsidRDefault="005643FD" w:rsidP="00ED7FBC">
      <w:pPr>
        <w:rPr>
          <w:rFonts w:ascii="Times" w:hAnsi="Times"/>
        </w:rPr>
      </w:pPr>
    </w:p>
    <w:p w14:paraId="76DA3DF5" w14:textId="590C0646" w:rsidR="00ED7FBC" w:rsidRPr="00511229" w:rsidRDefault="00ED7FBC" w:rsidP="00ED7FBC">
      <w:pPr>
        <w:rPr>
          <w:rFonts w:ascii="Times" w:hAnsi="Times"/>
        </w:rPr>
      </w:pPr>
      <w:r w:rsidRPr="00511229">
        <w:rPr>
          <w:rFonts w:ascii="Times" w:hAnsi="Times"/>
        </w:rPr>
        <w:t xml:space="preserve">II.3. Pie chart representing the biological processes identified in sequenced </w:t>
      </w:r>
      <w:r w:rsidR="009179C5">
        <w:rPr>
          <w:rFonts w:ascii="Times" w:hAnsi="Times"/>
        </w:rPr>
        <w:t>proteins......62</w:t>
      </w:r>
    </w:p>
    <w:p w14:paraId="47CB1727" w14:textId="77777777" w:rsidR="005643FD" w:rsidRPr="00511229" w:rsidRDefault="005643FD" w:rsidP="00ED7FBC">
      <w:pPr>
        <w:rPr>
          <w:rFonts w:ascii="Times" w:hAnsi="Times"/>
        </w:rPr>
      </w:pPr>
    </w:p>
    <w:p w14:paraId="0145FA3F" w14:textId="2D5D851F" w:rsidR="00ED7FBC" w:rsidRPr="00511229" w:rsidRDefault="00ED7FBC" w:rsidP="00ED7FBC">
      <w:pPr>
        <w:rPr>
          <w:rFonts w:ascii="Times" w:hAnsi="Times"/>
        </w:rPr>
      </w:pPr>
      <w:r w:rsidRPr="00511229">
        <w:rPr>
          <w:rFonts w:ascii="Times" w:hAnsi="Times"/>
        </w:rPr>
        <w:t xml:space="preserve">II.4. Curve of unique protein identification based on different numbers of peptides </w:t>
      </w:r>
      <w:r w:rsidR="00177103">
        <w:rPr>
          <w:rFonts w:ascii="Times" w:hAnsi="Times"/>
        </w:rPr>
        <w:t>sequenced.............................................................................................</w:t>
      </w:r>
      <w:r w:rsidR="009179C5">
        <w:rPr>
          <w:rFonts w:ascii="Times" w:hAnsi="Times"/>
        </w:rPr>
        <w:t>..............................63</w:t>
      </w:r>
    </w:p>
    <w:p w14:paraId="5543FB8C" w14:textId="77777777" w:rsidR="005643FD" w:rsidRPr="00511229" w:rsidRDefault="005643FD" w:rsidP="00ED7FBC">
      <w:pPr>
        <w:rPr>
          <w:rFonts w:ascii="Times" w:hAnsi="Times"/>
        </w:rPr>
      </w:pPr>
    </w:p>
    <w:p w14:paraId="682CC00C" w14:textId="6AAE2C1A" w:rsidR="00ED7FBC" w:rsidRPr="00177103" w:rsidRDefault="00ED7FBC" w:rsidP="00ED7FBC">
      <w:pPr>
        <w:rPr>
          <w:rFonts w:ascii="Times" w:hAnsi="Times"/>
        </w:rPr>
      </w:pPr>
      <w:r w:rsidRPr="00511229">
        <w:rPr>
          <w:rFonts w:ascii="Times" w:hAnsi="Times"/>
        </w:rPr>
        <w:t xml:space="preserve">III.1. Microhardness and fracture toughness of oyster shells at three different </w:t>
      </w:r>
      <w:r w:rsidR="00177103" w:rsidRPr="00177103">
        <w:rPr>
          <w:rFonts w:ascii="Times" w:hAnsi="Times"/>
          <w:i/>
        </w:rPr>
        <w:t>p</w:t>
      </w:r>
      <w:r w:rsidR="00177103" w:rsidRPr="00177103">
        <w:rPr>
          <w:rFonts w:ascii="Times" w:hAnsi="Times"/>
        </w:rPr>
        <w:t>CO</w:t>
      </w:r>
      <w:r w:rsidR="00177103" w:rsidRPr="009179C5">
        <w:rPr>
          <w:rFonts w:ascii="Times" w:hAnsi="Times"/>
          <w:vertAlign w:val="subscript"/>
        </w:rPr>
        <w:t>2</w:t>
      </w:r>
      <w:r w:rsidR="00177103">
        <w:rPr>
          <w:rFonts w:ascii="Times" w:hAnsi="Times"/>
        </w:rPr>
        <w:t>......</w:t>
      </w:r>
      <w:r w:rsidR="009179C5">
        <w:rPr>
          <w:rFonts w:ascii="Times" w:hAnsi="Times"/>
        </w:rPr>
        <w:t>96</w:t>
      </w:r>
    </w:p>
    <w:p w14:paraId="2C161588" w14:textId="77777777" w:rsidR="005643FD" w:rsidRPr="00511229" w:rsidRDefault="005643FD" w:rsidP="00ED7FBC">
      <w:pPr>
        <w:rPr>
          <w:rFonts w:ascii="Times" w:hAnsi="Times"/>
        </w:rPr>
      </w:pPr>
    </w:p>
    <w:p w14:paraId="65918DCC" w14:textId="1DDA021F" w:rsidR="00ED7FBC" w:rsidRPr="00177103" w:rsidRDefault="00ED7FBC" w:rsidP="00ED7FBC">
      <w:pPr>
        <w:rPr>
          <w:rFonts w:ascii="Times" w:hAnsi="Times"/>
        </w:rPr>
      </w:pPr>
      <w:r w:rsidRPr="00511229">
        <w:rPr>
          <w:rFonts w:ascii="Times" w:hAnsi="Times"/>
        </w:rPr>
        <w:t xml:space="preserve">III.2. Non-metric multidimensional scaling plot of fatty acid profiles for oysters at three different </w:t>
      </w:r>
      <w:r w:rsidR="00177103">
        <w:rPr>
          <w:rFonts w:ascii="Times" w:hAnsi="Times"/>
          <w:i/>
        </w:rPr>
        <w:t>p</w:t>
      </w:r>
      <w:r w:rsidR="00177103">
        <w:rPr>
          <w:rFonts w:ascii="Times" w:hAnsi="Times"/>
        </w:rPr>
        <w:t>CO</w:t>
      </w:r>
      <w:r w:rsidR="00177103" w:rsidRPr="00177103">
        <w:rPr>
          <w:rFonts w:ascii="Times" w:hAnsi="Times"/>
          <w:vertAlign w:val="subscript"/>
        </w:rPr>
        <w:t>2</w:t>
      </w:r>
      <w:r w:rsidR="00177103">
        <w:rPr>
          <w:rFonts w:ascii="Times" w:hAnsi="Times"/>
        </w:rPr>
        <w:t>......................................................................................</w:t>
      </w:r>
      <w:r w:rsidR="009179C5">
        <w:rPr>
          <w:rFonts w:ascii="Times" w:hAnsi="Times"/>
        </w:rPr>
        <w:t>..............................97</w:t>
      </w:r>
    </w:p>
    <w:p w14:paraId="6644DCEB" w14:textId="77777777" w:rsidR="005643FD" w:rsidRPr="00511229" w:rsidRDefault="005643FD" w:rsidP="00ED7FBC">
      <w:pPr>
        <w:rPr>
          <w:rFonts w:ascii="Times" w:hAnsi="Times"/>
        </w:rPr>
      </w:pPr>
    </w:p>
    <w:p w14:paraId="456B0F63" w14:textId="6484F5D5" w:rsidR="00ED7FBC" w:rsidRPr="00511229" w:rsidRDefault="00ED7FBC" w:rsidP="00ED7FBC">
      <w:pPr>
        <w:rPr>
          <w:rFonts w:ascii="Times" w:hAnsi="Times"/>
        </w:rPr>
      </w:pPr>
      <w:r w:rsidRPr="00511229">
        <w:rPr>
          <w:rFonts w:ascii="Times" w:hAnsi="Times"/>
        </w:rPr>
        <w:t xml:space="preserve">III.3. Mortality profiles for oysters exposed to lethal or sublethal heat shock from four different </w:t>
      </w:r>
      <w:r w:rsidRPr="00511229">
        <w:rPr>
          <w:rFonts w:ascii="Times" w:hAnsi="Times"/>
          <w:i/>
        </w:rPr>
        <w:t>p</w:t>
      </w:r>
      <w:r w:rsidRPr="00511229">
        <w:rPr>
          <w:rFonts w:ascii="Times" w:hAnsi="Times"/>
        </w:rPr>
        <w:t>CO</w:t>
      </w:r>
      <w:r w:rsidRPr="00511229">
        <w:rPr>
          <w:rFonts w:ascii="Times" w:hAnsi="Times"/>
          <w:vertAlign w:val="subscript"/>
        </w:rPr>
        <w:t>2</w:t>
      </w:r>
      <w:r w:rsidRPr="00511229">
        <w:rPr>
          <w:rFonts w:ascii="Times" w:hAnsi="Times"/>
        </w:rPr>
        <w:t xml:space="preserve"> </w:t>
      </w:r>
      <w:r w:rsidR="00177103">
        <w:rPr>
          <w:rFonts w:ascii="Times" w:hAnsi="Times"/>
        </w:rPr>
        <w:t>treatments.........................................................................................</w:t>
      </w:r>
      <w:r w:rsidR="009179C5">
        <w:rPr>
          <w:rFonts w:ascii="Times" w:hAnsi="Times"/>
        </w:rPr>
        <w:t>.........98</w:t>
      </w:r>
    </w:p>
    <w:p w14:paraId="7ADC0D64" w14:textId="77777777" w:rsidR="005643FD" w:rsidRPr="00511229" w:rsidRDefault="005643FD" w:rsidP="00ED7FBC">
      <w:pPr>
        <w:rPr>
          <w:rFonts w:ascii="Times" w:hAnsi="Times"/>
        </w:rPr>
      </w:pPr>
    </w:p>
    <w:p w14:paraId="34205B72" w14:textId="011E1589" w:rsidR="00ED7FBC" w:rsidRPr="00511229" w:rsidRDefault="00ED7FBC" w:rsidP="00ED7FBC">
      <w:pPr>
        <w:rPr>
          <w:rFonts w:ascii="Times" w:hAnsi="Times"/>
        </w:rPr>
      </w:pPr>
      <w:r w:rsidRPr="00511229">
        <w:rPr>
          <w:rFonts w:ascii="Times" w:hAnsi="Times"/>
        </w:rPr>
        <w:t xml:space="preserve">III.4.  Fold differences for differentially expressed proteins in oysters exposed to ocean acidification stress, mechanical stimulation, </w:t>
      </w:r>
      <w:r w:rsidR="005643FD" w:rsidRPr="00511229">
        <w:rPr>
          <w:rFonts w:ascii="Times" w:hAnsi="Times"/>
        </w:rPr>
        <w:t>or</w:t>
      </w:r>
      <w:r w:rsidRPr="00511229">
        <w:rPr>
          <w:rFonts w:ascii="Times" w:hAnsi="Times"/>
        </w:rPr>
        <w:t xml:space="preserve"> ocean acidification + mechanical stimulation</w:t>
      </w:r>
      <w:r w:rsidR="001C03BF" w:rsidRPr="00511229">
        <w:rPr>
          <w:rFonts w:ascii="Times" w:hAnsi="Times"/>
        </w:rPr>
        <w:t>...........................................................................................</w:t>
      </w:r>
      <w:r w:rsidR="009179C5">
        <w:rPr>
          <w:rFonts w:ascii="Times" w:hAnsi="Times"/>
        </w:rPr>
        <w:t>..............................99</w:t>
      </w:r>
    </w:p>
    <w:p w14:paraId="66FAB65A" w14:textId="77777777" w:rsidR="005643FD" w:rsidRPr="00511229" w:rsidRDefault="005643FD" w:rsidP="00ED7FBC">
      <w:pPr>
        <w:rPr>
          <w:rFonts w:ascii="Times" w:hAnsi="Times"/>
        </w:rPr>
      </w:pPr>
    </w:p>
    <w:p w14:paraId="192136A7" w14:textId="46C9987B" w:rsidR="00ED7FBC" w:rsidRPr="00511229" w:rsidRDefault="00ED7FBC" w:rsidP="00ED7FBC">
      <w:pPr>
        <w:rPr>
          <w:rFonts w:ascii="Times" w:hAnsi="Times"/>
        </w:rPr>
      </w:pPr>
      <w:r w:rsidRPr="00511229">
        <w:rPr>
          <w:rFonts w:ascii="Times" w:hAnsi="Times"/>
        </w:rPr>
        <w:t xml:space="preserve">III.5. Venn diagram depicting overlap of differentially expressed proteins between different stress </w:t>
      </w:r>
      <w:r w:rsidR="009179C5">
        <w:rPr>
          <w:rFonts w:ascii="Times" w:hAnsi="Times"/>
        </w:rPr>
        <w:t>responses.................................................................................................100</w:t>
      </w:r>
    </w:p>
    <w:p w14:paraId="1E36C932" w14:textId="77777777" w:rsidR="005643FD" w:rsidRPr="00511229" w:rsidRDefault="005643FD" w:rsidP="00ED7FBC">
      <w:pPr>
        <w:rPr>
          <w:rFonts w:ascii="Times" w:hAnsi="Times"/>
        </w:rPr>
      </w:pPr>
    </w:p>
    <w:p w14:paraId="5FA07E98" w14:textId="6E604750" w:rsidR="005643FD" w:rsidRPr="00511229" w:rsidRDefault="005643FD" w:rsidP="00ED7FBC">
      <w:pPr>
        <w:rPr>
          <w:rFonts w:ascii="Times" w:hAnsi="Times"/>
        </w:rPr>
      </w:pPr>
      <w:r w:rsidRPr="00511229">
        <w:rPr>
          <w:rFonts w:ascii="Times" w:hAnsi="Times"/>
        </w:rPr>
        <w:t xml:space="preserve">Appendix A.1. Mean glutathione S-transferase activity in gill tissue of oysters exposed to three different </w:t>
      </w:r>
      <w:r w:rsidRPr="00511229">
        <w:rPr>
          <w:rFonts w:ascii="Times" w:hAnsi="Times"/>
          <w:i/>
        </w:rPr>
        <w:t>p</w:t>
      </w:r>
      <w:r w:rsidRPr="00511229">
        <w:rPr>
          <w:rFonts w:ascii="Times" w:hAnsi="Times"/>
        </w:rPr>
        <w:t>CO</w:t>
      </w:r>
      <w:r w:rsidRPr="00511229">
        <w:rPr>
          <w:rFonts w:ascii="Times" w:hAnsi="Times"/>
          <w:vertAlign w:val="subscript"/>
        </w:rPr>
        <w:t>2</w:t>
      </w:r>
      <w:r w:rsidR="001C03BF" w:rsidRPr="00511229">
        <w:rPr>
          <w:rFonts w:ascii="Times" w:hAnsi="Times"/>
        </w:rPr>
        <w:t>.........................................................................</w:t>
      </w:r>
      <w:r w:rsidR="00E833DC" w:rsidRPr="00511229">
        <w:rPr>
          <w:rFonts w:ascii="Times" w:hAnsi="Times"/>
        </w:rPr>
        <w:t>.............................</w:t>
      </w:r>
      <w:r w:rsidR="00177103">
        <w:rPr>
          <w:rFonts w:ascii="Times" w:hAnsi="Times"/>
        </w:rPr>
        <w:t>...</w:t>
      </w:r>
      <w:r w:rsidR="009179C5">
        <w:rPr>
          <w:rFonts w:ascii="Times" w:hAnsi="Times"/>
        </w:rPr>
        <w:t>124</w:t>
      </w:r>
    </w:p>
    <w:p w14:paraId="36D14D45" w14:textId="77777777" w:rsidR="005643FD" w:rsidRPr="00511229" w:rsidRDefault="005643FD" w:rsidP="00ED7FBC">
      <w:pPr>
        <w:rPr>
          <w:rFonts w:ascii="Times" w:hAnsi="Times"/>
        </w:rPr>
      </w:pPr>
    </w:p>
    <w:p w14:paraId="2B257EA9" w14:textId="5B2C9EF4" w:rsidR="005643FD" w:rsidRPr="00177103" w:rsidRDefault="005643FD" w:rsidP="00ED7FBC">
      <w:pPr>
        <w:rPr>
          <w:rFonts w:ascii="Times" w:hAnsi="Times"/>
        </w:rPr>
      </w:pPr>
      <w:r w:rsidRPr="00511229">
        <w:rPr>
          <w:rFonts w:ascii="Times" w:hAnsi="Times"/>
        </w:rPr>
        <w:t xml:space="preserve">Appendix A.2. Mean superoxide dismutase activity in gill tissue of oysters exposed to three different </w:t>
      </w:r>
      <w:r w:rsidR="00177103">
        <w:rPr>
          <w:rFonts w:ascii="Times" w:hAnsi="Times"/>
          <w:i/>
        </w:rPr>
        <w:t>p</w:t>
      </w:r>
      <w:r w:rsidR="00177103">
        <w:rPr>
          <w:rFonts w:ascii="Times" w:hAnsi="Times"/>
        </w:rPr>
        <w:t>CO</w:t>
      </w:r>
      <w:r w:rsidR="00177103" w:rsidRPr="00177103">
        <w:rPr>
          <w:rFonts w:ascii="Times" w:hAnsi="Times"/>
          <w:vertAlign w:val="subscript"/>
        </w:rPr>
        <w:t>2</w:t>
      </w:r>
      <w:r w:rsidR="00177103">
        <w:rPr>
          <w:rFonts w:ascii="Times" w:hAnsi="Times"/>
        </w:rPr>
        <w:t>...........................................................................</w:t>
      </w:r>
      <w:r w:rsidR="00C26D9D">
        <w:rPr>
          <w:rFonts w:ascii="Times" w:hAnsi="Times"/>
        </w:rPr>
        <w:t>..............................12</w:t>
      </w:r>
      <w:r w:rsidR="009179C5">
        <w:rPr>
          <w:rFonts w:ascii="Times" w:hAnsi="Times"/>
        </w:rPr>
        <w:t>5</w:t>
      </w:r>
    </w:p>
    <w:p w14:paraId="6F3DBB90" w14:textId="77777777" w:rsidR="00E833DC" w:rsidRPr="00511229" w:rsidRDefault="00E833DC" w:rsidP="00ED7FBC">
      <w:pPr>
        <w:rPr>
          <w:rFonts w:ascii="Times" w:hAnsi="Times"/>
        </w:rPr>
      </w:pPr>
    </w:p>
    <w:p w14:paraId="06D64039" w14:textId="3F005C5E" w:rsidR="00E833DC" w:rsidRPr="00511229" w:rsidRDefault="00E833DC" w:rsidP="00ED7FBC">
      <w:pPr>
        <w:rPr>
          <w:rFonts w:ascii="Times" w:hAnsi="Times"/>
        </w:rPr>
      </w:pPr>
      <w:r w:rsidRPr="00511229">
        <w:rPr>
          <w:rFonts w:ascii="Times" w:hAnsi="Times"/>
        </w:rPr>
        <w:t>Appendix B.1. Example of normal digestive tubules an</w:t>
      </w:r>
      <w:r w:rsidR="00CB5AAE" w:rsidRPr="00511229">
        <w:rPr>
          <w:rFonts w:ascii="Times" w:hAnsi="Times"/>
        </w:rPr>
        <w:t>d of cuboidal metaplasia.....</w:t>
      </w:r>
      <w:r w:rsidR="00177103">
        <w:rPr>
          <w:rFonts w:ascii="Times" w:hAnsi="Times"/>
        </w:rPr>
        <w:t>.....</w:t>
      </w:r>
      <w:r w:rsidR="009179C5">
        <w:rPr>
          <w:rFonts w:ascii="Times" w:hAnsi="Times"/>
        </w:rPr>
        <w:t>133</w:t>
      </w:r>
    </w:p>
    <w:p w14:paraId="37322563" w14:textId="77777777" w:rsidR="00E833DC" w:rsidRPr="00511229" w:rsidRDefault="00E833DC" w:rsidP="00ED7FBC">
      <w:pPr>
        <w:rPr>
          <w:rFonts w:ascii="Times" w:hAnsi="Times"/>
        </w:rPr>
      </w:pPr>
    </w:p>
    <w:p w14:paraId="19D120CE" w14:textId="518A5784" w:rsidR="00E833DC" w:rsidRDefault="00E833DC" w:rsidP="00ED7FBC">
      <w:pPr>
        <w:rPr>
          <w:rFonts w:ascii="Times" w:hAnsi="Times"/>
        </w:rPr>
      </w:pPr>
      <w:r w:rsidRPr="00511229">
        <w:rPr>
          <w:rFonts w:ascii="Times" w:hAnsi="Times"/>
        </w:rPr>
        <w:t xml:space="preserve">Appendix B.2. Proportion digestive tubules in cuboidal metaplasia at different </w:t>
      </w:r>
      <w:r w:rsidRPr="00511229">
        <w:rPr>
          <w:rFonts w:ascii="Times" w:hAnsi="Times"/>
          <w:i/>
        </w:rPr>
        <w:t>p</w:t>
      </w:r>
      <w:r w:rsidRPr="00511229">
        <w:rPr>
          <w:rFonts w:ascii="Times" w:hAnsi="Times"/>
        </w:rPr>
        <w:t>CO</w:t>
      </w:r>
      <w:r w:rsidRPr="00511229">
        <w:rPr>
          <w:rFonts w:ascii="Times" w:hAnsi="Times"/>
          <w:vertAlign w:val="subscript"/>
        </w:rPr>
        <w:t>2</w:t>
      </w:r>
      <w:r w:rsidRPr="00511229">
        <w:rPr>
          <w:rFonts w:ascii="Times" w:hAnsi="Times"/>
        </w:rPr>
        <w:t xml:space="preserve">, with and without additional mechanical </w:t>
      </w:r>
      <w:r w:rsidR="00177103">
        <w:rPr>
          <w:rFonts w:ascii="Times" w:hAnsi="Times"/>
        </w:rPr>
        <w:t>stress...................................</w:t>
      </w:r>
      <w:r w:rsidR="009179C5">
        <w:rPr>
          <w:rFonts w:ascii="Times" w:hAnsi="Times"/>
        </w:rPr>
        <w:t>.............................134</w:t>
      </w:r>
    </w:p>
    <w:p w14:paraId="2C15F71A" w14:textId="77777777" w:rsidR="00177103" w:rsidRDefault="00177103" w:rsidP="00ED7FBC">
      <w:pPr>
        <w:rPr>
          <w:rFonts w:ascii="Times" w:hAnsi="Times"/>
        </w:rPr>
      </w:pPr>
    </w:p>
    <w:p w14:paraId="61B565FA" w14:textId="5D385B43" w:rsidR="00177103" w:rsidRDefault="00177103" w:rsidP="00ED7FBC">
      <w:pPr>
        <w:rPr>
          <w:rFonts w:ascii="Times" w:hAnsi="Times"/>
        </w:rPr>
      </w:pPr>
      <w:r>
        <w:rPr>
          <w:rFonts w:ascii="Times" w:hAnsi="Times"/>
        </w:rPr>
        <w:t>Appendix C.1</w:t>
      </w:r>
      <w:r w:rsidR="00C26D9D">
        <w:rPr>
          <w:rFonts w:ascii="Times" w:hAnsi="Times"/>
        </w:rPr>
        <w:t>. Samples used for week-long ocean acidification exposure experiment...........................................................................................</w:t>
      </w:r>
      <w:r w:rsidR="009179C5">
        <w:rPr>
          <w:rFonts w:ascii="Times" w:hAnsi="Times"/>
        </w:rPr>
        <w:t>.............................137</w:t>
      </w:r>
    </w:p>
    <w:p w14:paraId="6311BAFF" w14:textId="77777777" w:rsidR="00C26D9D" w:rsidRDefault="00C26D9D" w:rsidP="00ED7FBC">
      <w:pPr>
        <w:rPr>
          <w:rFonts w:ascii="Times" w:hAnsi="Times"/>
        </w:rPr>
      </w:pPr>
    </w:p>
    <w:p w14:paraId="0716173E" w14:textId="0E56C796" w:rsidR="00177103" w:rsidRPr="00511229" w:rsidRDefault="00177103" w:rsidP="00ED7FBC">
      <w:pPr>
        <w:rPr>
          <w:rFonts w:ascii="Times" w:hAnsi="Times"/>
        </w:rPr>
      </w:pPr>
      <w:r>
        <w:rPr>
          <w:rFonts w:ascii="Times" w:hAnsi="Times"/>
        </w:rPr>
        <w:t>Appendix C.2</w:t>
      </w:r>
      <w:r w:rsidR="00C26D9D">
        <w:rPr>
          <w:rFonts w:ascii="Times" w:hAnsi="Times"/>
        </w:rPr>
        <w:t>. Samples used for month-long ocean acidification exposure experiment...........................................................................................</w:t>
      </w:r>
      <w:r w:rsidR="009179C5">
        <w:rPr>
          <w:rFonts w:ascii="Times" w:hAnsi="Times"/>
        </w:rPr>
        <w:t>.............................138</w:t>
      </w:r>
    </w:p>
    <w:p w14:paraId="1585AC77" w14:textId="77777777" w:rsidR="00C02D9B" w:rsidRDefault="00C02D9B" w:rsidP="00C02D9B">
      <w:pPr>
        <w:pStyle w:val="Heading1"/>
      </w:pPr>
      <w:bookmarkStart w:id="4" w:name="_Toc257278759"/>
      <w:r>
        <w:t>List of Tables</w:t>
      </w:r>
      <w:bookmarkEnd w:id="4"/>
    </w:p>
    <w:p w14:paraId="6E52532D" w14:textId="77777777" w:rsidR="005643FD" w:rsidRPr="005643FD" w:rsidRDefault="005643FD" w:rsidP="005643FD"/>
    <w:p w14:paraId="168E1C32" w14:textId="7D6F3FD9" w:rsidR="005643FD" w:rsidRPr="00511229" w:rsidRDefault="005643FD" w:rsidP="005643FD">
      <w:pPr>
        <w:rPr>
          <w:rFonts w:ascii="Times" w:hAnsi="Times"/>
        </w:rPr>
      </w:pPr>
      <w:r w:rsidRPr="00511229">
        <w:rPr>
          <w:rFonts w:ascii="Times" w:hAnsi="Times"/>
        </w:rPr>
        <w:t>I.1. Summary of water chemistry data for oyster larvae experiment</w:t>
      </w:r>
      <w:r w:rsidR="001C03BF" w:rsidRPr="00511229">
        <w:rPr>
          <w:rFonts w:ascii="Times" w:hAnsi="Times"/>
        </w:rPr>
        <w:t>...............................</w:t>
      </w:r>
      <w:r w:rsidR="00177103">
        <w:rPr>
          <w:rFonts w:ascii="Times" w:hAnsi="Times"/>
        </w:rPr>
        <w:t>..</w:t>
      </w:r>
      <w:r w:rsidR="009179C5">
        <w:rPr>
          <w:rFonts w:ascii="Times" w:hAnsi="Times"/>
        </w:rPr>
        <w:t>37</w:t>
      </w:r>
    </w:p>
    <w:p w14:paraId="56AF71D8" w14:textId="77777777" w:rsidR="005643FD" w:rsidRPr="00511229" w:rsidRDefault="005643FD" w:rsidP="005643FD">
      <w:pPr>
        <w:rPr>
          <w:rFonts w:ascii="Times" w:hAnsi="Times"/>
        </w:rPr>
      </w:pPr>
    </w:p>
    <w:p w14:paraId="64DC729E" w14:textId="580097BE" w:rsidR="005643FD" w:rsidRPr="00511229" w:rsidRDefault="005643FD" w:rsidP="005643FD">
      <w:pPr>
        <w:rPr>
          <w:rFonts w:ascii="Times" w:hAnsi="Times"/>
        </w:rPr>
      </w:pPr>
      <w:r w:rsidRPr="00511229">
        <w:rPr>
          <w:rFonts w:ascii="Times" w:hAnsi="Times"/>
        </w:rPr>
        <w:t>I.2. Tukey HSD results for ANOVA of oyster larval hinge length and shell height</w:t>
      </w:r>
      <w:r w:rsidR="001C03BF" w:rsidRPr="00511229">
        <w:rPr>
          <w:rFonts w:ascii="Times" w:hAnsi="Times"/>
        </w:rPr>
        <w:t>.......</w:t>
      </w:r>
      <w:r w:rsidR="00177103">
        <w:rPr>
          <w:rFonts w:ascii="Times" w:hAnsi="Times"/>
        </w:rPr>
        <w:t>..</w:t>
      </w:r>
      <w:r w:rsidR="009179C5">
        <w:rPr>
          <w:rFonts w:ascii="Times" w:hAnsi="Times"/>
        </w:rPr>
        <w:t>37</w:t>
      </w:r>
    </w:p>
    <w:p w14:paraId="23AF629B" w14:textId="77777777" w:rsidR="005643FD" w:rsidRPr="00511229" w:rsidRDefault="005643FD" w:rsidP="005643FD">
      <w:pPr>
        <w:rPr>
          <w:rFonts w:ascii="Times" w:hAnsi="Times"/>
        </w:rPr>
      </w:pPr>
    </w:p>
    <w:p w14:paraId="1A66A6CF" w14:textId="5033BC15" w:rsidR="005643FD" w:rsidRPr="00511229" w:rsidRDefault="005643FD" w:rsidP="005643FD">
      <w:pPr>
        <w:rPr>
          <w:rFonts w:ascii="Times" w:hAnsi="Times"/>
        </w:rPr>
      </w:pPr>
      <w:r w:rsidRPr="00511229">
        <w:rPr>
          <w:rFonts w:ascii="Times" w:hAnsi="Times"/>
        </w:rPr>
        <w:t xml:space="preserve">II.1. Number of peptides sequenced across four </w:t>
      </w:r>
      <w:r w:rsidR="00177103">
        <w:rPr>
          <w:rFonts w:ascii="Times" w:hAnsi="Times"/>
        </w:rPr>
        <w:t>oysters.....................</w:t>
      </w:r>
      <w:r w:rsidR="009179C5">
        <w:rPr>
          <w:rFonts w:ascii="Times" w:hAnsi="Times"/>
        </w:rPr>
        <w:t>..............................59</w:t>
      </w:r>
    </w:p>
    <w:p w14:paraId="6F1A0626" w14:textId="77777777" w:rsidR="005643FD" w:rsidRPr="00511229" w:rsidRDefault="005643FD" w:rsidP="005643FD">
      <w:pPr>
        <w:rPr>
          <w:rFonts w:ascii="Times" w:hAnsi="Times"/>
        </w:rPr>
      </w:pPr>
    </w:p>
    <w:p w14:paraId="20579E8C" w14:textId="3C8C7F47" w:rsidR="005643FD" w:rsidRPr="00511229" w:rsidRDefault="005643FD" w:rsidP="005643FD">
      <w:pPr>
        <w:rPr>
          <w:rFonts w:ascii="Times" w:hAnsi="Times"/>
        </w:rPr>
      </w:pPr>
      <w:r w:rsidRPr="00511229">
        <w:rPr>
          <w:rFonts w:ascii="Times" w:hAnsi="Times"/>
        </w:rPr>
        <w:t>II.2. The ten most abundant proteins identified across four oysters</w:t>
      </w:r>
      <w:r w:rsidR="00EC2EC9" w:rsidRPr="00511229">
        <w:rPr>
          <w:rFonts w:ascii="Times" w:hAnsi="Times"/>
        </w:rPr>
        <w:t>................................</w:t>
      </w:r>
      <w:r w:rsidR="00177103">
        <w:rPr>
          <w:rFonts w:ascii="Times" w:hAnsi="Times"/>
        </w:rPr>
        <w:t>..</w:t>
      </w:r>
      <w:r w:rsidR="009179C5">
        <w:rPr>
          <w:rFonts w:ascii="Times" w:hAnsi="Times"/>
        </w:rPr>
        <w:t>59</w:t>
      </w:r>
    </w:p>
    <w:p w14:paraId="5C6A336E" w14:textId="77777777" w:rsidR="005643FD" w:rsidRPr="00511229" w:rsidRDefault="005643FD" w:rsidP="005643FD">
      <w:pPr>
        <w:rPr>
          <w:rFonts w:ascii="Times" w:hAnsi="Times"/>
        </w:rPr>
      </w:pPr>
    </w:p>
    <w:p w14:paraId="5471AB06" w14:textId="730C4701" w:rsidR="005643FD" w:rsidRPr="00511229" w:rsidRDefault="005643FD" w:rsidP="005643FD">
      <w:pPr>
        <w:rPr>
          <w:rFonts w:ascii="Times" w:hAnsi="Times"/>
        </w:rPr>
      </w:pPr>
      <w:r w:rsidRPr="00511229">
        <w:rPr>
          <w:rFonts w:ascii="Times" w:hAnsi="Times"/>
        </w:rPr>
        <w:t>III.1. Summary of water chemistry data for the adult oyster experiment</w:t>
      </w:r>
      <w:r w:rsidR="00EC2EC9" w:rsidRPr="00511229">
        <w:rPr>
          <w:rFonts w:ascii="Times" w:hAnsi="Times"/>
        </w:rPr>
        <w:t>......................</w:t>
      </w:r>
      <w:r w:rsidR="00177103">
        <w:rPr>
          <w:rFonts w:ascii="Times" w:hAnsi="Times"/>
        </w:rPr>
        <w:t>....</w:t>
      </w:r>
      <w:r w:rsidR="009179C5">
        <w:rPr>
          <w:rFonts w:ascii="Times" w:hAnsi="Times"/>
        </w:rPr>
        <w:t>95</w:t>
      </w:r>
    </w:p>
    <w:p w14:paraId="27BAD56E" w14:textId="77777777" w:rsidR="005643FD" w:rsidRPr="00511229" w:rsidRDefault="005643FD" w:rsidP="005643FD">
      <w:pPr>
        <w:rPr>
          <w:rFonts w:ascii="Times" w:hAnsi="Times"/>
        </w:rPr>
      </w:pPr>
    </w:p>
    <w:p w14:paraId="58BA66CB" w14:textId="40BE97DF" w:rsidR="005643FD" w:rsidRPr="00511229" w:rsidRDefault="005643FD" w:rsidP="005643FD">
      <w:pPr>
        <w:rPr>
          <w:rFonts w:ascii="Times" w:hAnsi="Times"/>
        </w:rPr>
      </w:pPr>
      <w:r w:rsidRPr="00511229">
        <w:rPr>
          <w:rFonts w:ascii="Times" w:hAnsi="Times"/>
        </w:rPr>
        <w:t xml:space="preserve">III.2. Buoyant weight of oysters across four different </w:t>
      </w:r>
      <w:r w:rsidRPr="00511229">
        <w:rPr>
          <w:rFonts w:ascii="Times" w:hAnsi="Times"/>
          <w:i/>
        </w:rPr>
        <w:t>p</w:t>
      </w:r>
      <w:r w:rsidRPr="00511229">
        <w:rPr>
          <w:rFonts w:ascii="Times" w:hAnsi="Times"/>
        </w:rPr>
        <w:t>CO</w:t>
      </w:r>
      <w:r w:rsidRPr="00511229">
        <w:rPr>
          <w:rFonts w:ascii="Times" w:hAnsi="Times"/>
          <w:vertAlign w:val="subscript"/>
        </w:rPr>
        <w:t>2</w:t>
      </w:r>
      <w:r w:rsidRPr="00511229">
        <w:rPr>
          <w:rFonts w:ascii="Times" w:hAnsi="Times"/>
        </w:rPr>
        <w:t xml:space="preserve"> at the beginning and end of the </w:t>
      </w:r>
      <w:r w:rsidR="00177103">
        <w:rPr>
          <w:rFonts w:ascii="Times" w:hAnsi="Times"/>
        </w:rPr>
        <w:t>experiment......................................................................................</w:t>
      </w:r>
      <w:r w:rsidR="00C26D9D">
        <w:rPr>
          <w:rFonts w:ascii="Times" w:hAnsi="Times"/>
        </w:rPr>
        <w:t>..........</w:t>
      </w:r>
      <w:r w:rsidR="009179C5">
        <w:rPr>
          <w:rFonts w:ascii="Times" w:hAnsi="Times"/>
        </w:rPr>
        <w:t>....................95</w:t>
      </w:r>
    </w:p>
    <w:p w14:paraId="4A53B58C" w14:textId="77777777" w:rsidR="005643FD" w:rsidRPr="00511229" w:rsidRDefault="005643FD" w:rsidP="005643FD">
      <w:pPr>
        <w:rPr>
          <w:rFonts w:ascii="Times" w:hAnsi="Times"/>
        </w:rPr>
      </w:pPr>
    </w:p>
    <w:p w14:paraId="0868A49D" w14:textId="0C8467C2" w:rsidR="005643FD" w:rsidRPr="00511229" w:rsidRDefault="005643FD" w:rsidP="005643FD">
      <w:pPr>
        <w:rPr>
          <w:rFonts w:ascii="Times" w:hAnsi="Times"/>
        </w:rPr>
      </w:pPr>
      <w:r w:rsidRPr="00511229">
        <w:rPr>
          <w:rFonts w:ascii="Times" w:hAnsi="Times"/>
        </w:rPr>
        <w:t>III.3. Number of proteins identified across three technical replicates for the 16 sequenced oyster proteomes</w:t>
      </w:r>
      <w:r w:rsidR="00EC2EC9" w:rsidRPr="00511229">
        <w:rPr>
          <w:rFonts w:ascii="Times" w:hAnsi="Times"/>
        </w:rPr>
        <w:t>..............................................................................................................</w:t>
      </w:r>
      <w:r w:rsidR="00177103">
        <w:rPr>
          <w:rFonts w:ascii="Times" w:hAnsi="Times"/>
        </w:rPr>
        <w:t>..</w:t>
      </w:r>
      <w:r w:rsidR="009179C5">
        <w:rPr>
          <w:rFonts w:ascii="Times" w:hAnsi="Times"/>
        </w:rPr>
        <w:t>95</w:t>
      </w:r>
    </w:p>
    <w:p w14:paraId="4A7854E1" w14:textId="77777777" w:rsidR="005643FD" w:rsidRDefault="005643FD" w:rsidP="00C02D9B">
      <w:pPr>
        <w:pStyle w:val="Heading1"/>
      </w:pPr>
    </w:p>
    <w:p w14:paraId="28332B86" w14:textId="77777777" w:rsidR="00EC2EC9" w:rsidRDefault="00EC2EC9" w:rsidP="00EC2EC9">
      <w:pPr>
        <w:rPr>
          <w:rFonts w:ascii="Times" w:eastAsiaTheme="majorEastAsia" w:hAnsi="Times" w:cstheme="majorBidi"/>
          <w:b/>
          <w:bCs/>
          <w:sz w:val="32"/>
          <w:szCs w:val="32"/>
        </w:rPr>
      </w:pPr>
      <w:bookmarkStart w:id="5" w:name="_GoBack"/>
      <w:bookmarkEnd w:id="5"/>
    </w:p>
    <w:p w14:paraId="4E196F06" w14:textId="77777777" w:rsidR="00EC2EC9" w:rsidRDefault="00EC2EC9" w:rsidP="00EC2EC9">
      <w:pPr>
        <w:rPr>
          <w:rFonts w:ascii="Times" w:eastAsiaTheme="majorEastAsia" w:hAnsi="Times" w:cstheme="majorBidi"/>
          <w:b/>
          <w:bCs/>
          <w:sz w:val="32"/>
          <w:szCs w:val="32"/>
        </w:rPr>
      </w:pPr>
    </w:p>
    <w:p w14:paraId="40C50DA0" w14:textId="77777777" w:rsidR="00EC2EC9" w:rsidRDefault="00EC2EC9" w:rsidP="00EC2EC9">
      <w:pPr>
        <w:rPr>
          <w:rFonts w:ascii="Times" w:eastAsiaTheme="majorEastAsia" w:hAnsi="Times" w:cstheme="majorBidi"/>
          <w:b/>
          <w:bCs/>
          <w:sz w:val="32"/>
          <w:szCs w:val="32"/>
        </w:rPr>
      </w:pPr>
    </w:p>
    <w:p w14:paraId="6D28196D" w14:textId="77777777" w:rsidR="00CB5AAE" w:rsidRDefault="00CB5AAE" w:rsidP="00CB5AAE">
      <w:pPr>
        <w:rPr>
          <w:rFonts w:ascii="Times" w:eastAsiaTheme="majorEastAsia" w:hAnsi="Times" w:cstheme="majorBidi"/>
          <w:b/>
          <w:bCs/>
          <w:sz w:val="32"/>
          <w:szCs w:val="32"/>
        </w:rPr>
      </w:pPr>
    </w:p>
    <w:p w14:paraId="0169DCEE" w14:textId="77777777" w:rsidR="00511229" w:rsidRDefault="00511229" w:rsidP="00CB5AAE">
      <w:pPr>
        <w:pStyle w:val="Heading1"/>
      </w:pPr>
    </w:p>
    <w:p w14:paraId="554D4BE2" w14:textId="77777777" w:rsidR="00511229" w:rsidRDefault="00511229" w:rsidP="00CB5AAE">
      <w:pPr>
        <w:pStyle w:val="Heading1"/>
      </w:pPr>
    </w:p>
    <w:p w14:paraId="11650A80" w14:textId="77777777" w:rsidR="00511229" w:rsidRDefault="00511229" w:rsidP="00CB5AAE">
      <w:pPr>
        <w:pStyle w:val="Heading1"/>
      </w:pPr>
    </w:p>
    <w:p w14:paraId="3B6CADFB" w14:textId="77777777" w:rsidR="002A2EFE" w:rsidRDefault="002A2EFE" w:rsidP="00511229">
      <w:pPr>
        <w:pStyle w:val="Heading1"/>
      </w:pPr>
    </w:p>
    <w:p w14:paraId="535B4528" w14:textId="77777777" w:rsidR="002A2EFE" w:rsidRDefault="002A2EFE" w:rsidP="00511229">
      <w:pPr>
        <w:pStyle w:val="Heading1"/>
      </w:pPr>
    </w:p>
    <w:p w14:paraId="6F78FA9A" w14:textId="77777777" w:rsidR="002A2EFE" w:rsidRDefault="002A2EFE" w:rsidP="00511229">
      <w:pPr>
        <w:pStyle w:val="Heading1"/>
      </w:pPr>
    </w:p>
    <w:p w14:paraId="0F32D571" w14:textId="77777777" w:rsidR="002A2EFE" w:rsidRDefault="002A2EFE" w:rsidP="002A2EFE"/>
    <w:p w14:paraId="2C330E51" w14:textId="77777777" w:rsidR="002A2EFE" w:rsidRDefault="002A2EFE" w:rsidP="002A2EFE"/>
    <w:p w14:paraId="3DB91118" w14:textId="77777777" w:rsidR="002A2EFE" w:rsidRDefault="002A2EFE" w:rsidP="002A2EFE"/>
    <w:p w14:paraId="41990132" w14:textId="77777777" w:rsidR="00177103" w:rsidRDefault="00177103" w:rsidP="002A2EFE">
      <w:pPr>
        <w:pStyle w:val="Heading1"/>
      </w:pPr>
    </w:p>
    <w:p w14:paraId="25CFB2E8" w14:textId="77777777" w:rsidR="00177103" w:rsidRDefault="00177103" w:rsidP="002A2EFE">
      <w:pPr>
        <w:pStyle w:val="Heading1"/>
      </w:pPr>
    </w:p>
    <w:p w14:paraId="2C0F3CA8" w14:textId="77777777" w:rsidR="00177103" w:rsidRDefault="00177103" w:rsidP="002A2EFE">
      <w:pPr>
        <w:pStyle w:val="Heading1"/>
      </w:pPr>
    </w:p>
    <w:p w14:paraId="0FC2ED30" w14:textId="77777777" w:rsidR="0096381E" w:rsidRDefault="0096381E" w:rsidP="0096381E"/>
    <w:p w14:paraId="4411F18D" w14:textId="77777777" w:rsidR="0096381E" w:rsidRDefault="0096381E" w:rsidP="0096381E"/>
    <w:p w14:paraId="44360814" w14:textId="77777777" w:rsidR="00C02D9B" w:rsidRDefault="00C02D9B" w:rsidP="0096381E">
      <w:pPr>
        <w:pStyle w:val="Heading1"/>
      </w:pPr>
      <w:bookmarkStart w:id="6" w:name="_Toc257278760"/>
      <w:r>
        <w:t>Introduction</w:t>
      </w:r>
      <w:bookmarkEnd w:id="6"/>
    </w:p>
    <w:p w14:paraId="67E0BF9B" w14:textId="77777777" w:rsidR="00C02D9B" w:rsidRDefault="00C02D9B" w:rsidP="00C02D9B">
      <w:pPr>
        <w:pStyle w:val="Heading2"/>
      </w:pPr>
      <w:bookmarkStart w:id="7" w:name="_Toc257278761"/>
      <w:r>
        <w:t>Background</w:t>
      </w:r>
      <w:bookmarkEnd w:id="7"/>
    </w:p>
    <w:p w14:paraId="5A4F37E5" w14:textId="77777777" w:rsidR="00D92FB6" w:rsidRPr="00D92FB6" w:rsidRDefault="00D92FB6" w:rsidP="00D92FB6"/>
    <w:p w14:paraId="627C20BA" w14:textId="679CF266" w:rsidR="006315D6" w:rsidRPr="00114AD7" w:rsidRDefault="006315D6" w:rsidP="006315D6">
      <w:pPr>
        <w:spacing w:line="360" w:lineRule="auto"/>
        <w:ind w:firstLine="720"/>
        <w:rPr>
          <w:rFonts w:ascii="Times" w:hAnsi="Times"/>
        </w:rPr>
      </w:pPr>
      <w:r w:rsidRPr="00114AD7">
        <w:rPr>
          <w:rFonts w:ascii="Times" w:hAnsi="Times"/>
        </w:rPr>
        <w:t xml:space="preserve">Global climate change and human </w:t>
      </w:r>
      <w:r w:rsidR="00501523" w:rsidRPr="00114AD7">
        <w:rPr>
          <w:rFonts w:ascii="Times" w:hAnsi="Times"/>
        </w:rPr>
        <w:t>activities</w:t>
      </w:r>
      <w:r w:rsidRPr="00114AD7">
        <w:rPr>
          <w:rFonts w:ascii="Times" w:hAnsi="Times"/>
        </w:rPr>
        <w:t xml:space="preserve"> are already impacting natural aquatic environments and are expected to increase in intensity in the coming decades.  These diverse changes include input of pollutants into waterways, altered river flow that can affect water chemistry and hydrography, sea level rise, increasing intensity of temperature fluctuations and overall temperature rise, and decreasing ocean pH.  The</w:t>
      </w:r>
      <w:r w:rsidR="00501523" w:rsidRPr="00114AD7">
        <w:rPr>
          <w:rFonts w:ascii="Times" w:hAnsi="Times"/>
        </w:rPr>
        <w:t xml:space="preserve"> nearshore marine environment is already hypervariable and</w:t>
      </w:r>
      <w:r w:rsidRPr="00114AD7">
        <w:rPr>
          <w:rFonts w:ascii="Times" w:hAnsi="Times"/>
        </w:rPr>
        <w:t xml:space="preserve"> home to inherent stressors for marine organisms.</w:t>
      </w:r>
      <w:r w:rsidR="00535AF0" w:rsidRPr="00114AD7">
        <w:rPr>
          <w:rFonts w:ascii="Times" w:hAnsi="Times"/>
        </w:rPr>
        <w:t xml:space="preserve">  There are frequent fluctuations in temperature (</w:t>
      </w:r>
      <w:r w:rsidR="00304230" w:rsidRPr="00114AD7">
        <w:rPr>
          <w:rFonts w:ascii="Times" w:hAnsi="Times"/>
        </w:rPr>
        <w:t xml:space="preserve">Pennington and Chavez 2000; </w:t>
      </w:r>
      <w:r w:rsidR="001B113E" w:rsidRPr="00114AD7">
        <w:rPr>
          <w:rFonts w:ascii="Times" w:hAnsi="Times"/>
        </w:rPr>
        <w:t>Kaplan et al. 2003</w:t>
      </w:r>
      <w:r w:rsidR="00535AF0" w:rsidRPr="00114AD7">
        <w:rPr>
          <w:rFonts w:ascii="Times" w:hAnsi="Times"/>
        </w:rPr>
        <w:t>), pH (</w:t>
      </w:r>
      <w:r w:rsidR="00841603" w:rsidRPr="00114AD7">
        <w:rPr>
          <w:rFonts w:ascii="Times" w:hAnsi="Times"/>
        </w:rPr>
        <w:t>Feely et al. 2008</w:t>
      </w:r>
      <w:r w:rsidR="00535AF0" w:rsidRPr="00114AD7">
        <w:rPr>
          <w:rFonts w:ascii="Times" w:hAnsi="Times"/>
        </w:rPr>
        <w:t>), salinity (</w:t>
      </w:r>
      <w:r w:rsidR="00304230" w:rsidRPr="00114AD7">
        <w:rPr>
          <w:rFonts w:ascii="Times" w:hAnsi="Times"/>
        </w:rPr>
        <w:t>Pennington and Chavez 2000</w:t>
      </w:r>
      <w:r w:rsidR="00535AF0" w:rsidRPr="00114AD7">
        <w:rPr>
          <w:rFonts w:ascii="Times" w:hAnsi="Times"/>
        </w:rPr>
        <w:t>), nutrients (</w:t>
      </w:r>
      <w:r w:rsidR="00304230" w:rsidRPr="00114AD7">
        <w:rPr>
          <w:rFonts w:ascii="Times" w:hAnsi="Times"/>
        </w:rPr>
        <w:t>Pennington and Chavez 2000</w:t>
      </w:r>
      <w:r w:rsidR="00535AF0" w:rsidRPr="00114AD7">
        <w:rPr>
          <w:rFonts w:ascii="Times" w:hAnsi="Times"/>
        </w:rPr>
        <w:t>), and exposure to contaminants (</w:t>
      </w:r>
      <w:r w:rsidR="009918AC" w:rsidRPr="00114AD7">
        <w:rPr>
          <w:rFonts w:ascii="Times" w:hAnsi="Times"/>
        </w:rPr>
        <w:t>Barkovskii et al. 2010</w:t>
      </w:r>
      <w:r w:rsidR="00535AF0" w:rsidRPr="00114AD7">
        <w:rPr>
          <w:rFonts w:ascii="Times" w:hAnsi="Times"/>
        </w:rPr>
        <w:t>).</w:t>
      </w:r>
      <w:r w:rsidR="00501523" w:rsidRPr="00114AD7">
        <w:rPr>
          <w:rFonts w:ascii="Times" w:hAnsi="Times"/>
        </w:rPr>
        <w:t xml:space="preserve"> </w:t>
      </w:r>
      <w:r w:rsidRPr="00114AD7">
        <w:rPr>
          <w:rFonts w:ascii="Times" w:hAnsi="Times"/>
        </w:rPr>
        <w:t xml:space="preserve">As the environment continues to change, local populations will either have to adapt to new sources of environmental variability and weather new stressors, or they will be forced to shift their ranges to more suitable habitats.  In this way, both the ecology and biology of aquatic animals can give us insight into the kinds of changes that are occurring in the marine environment, as well as how those changes are affecting organism physiology and fitness.  Sessile marine organisms are especially useful in this regard since they </w:t>
      </w:r>
      <w:r w:rsidR="00501523" w:rsidRPr="00114AD7">
        <w:rPr>
          <w:rFonts w:ascii="Times" w:hAnsi="Times"/>
        </w:rPr>
        <w:t xml:space="preserve">can </w:t>
      </w:r>
      <w:r w:rsidRPr="00114AD7">
        <w:rPr>
          <w:rFonts w:ascii="Times" w:hAnsi="Times"/>
        </w:rPr>
        <w:t>serve as environmental sentinels.</w:t>
      </w:r>
    </w:p>
    <w:p w14:paraId="4F007761" w14:textId="6D2B8ADC" w:rsidR="006315D6" w:rsidRPr="00114AD7" w:rsidRDefault="006315D6" w:rsidP="006315D6">
      <w:pPr>
        <w:spacing w:line="360" w:lineRule="auto"/>
        <w:ind w:firstLine="720"/>
        <w:rPr>
          <w:rFonts w:ascii="Times" w:hAnsi="Times"/>
        </w:rPr>
      </w:pPr>
      <w:r w:rsidRPr="00114AD7">
        <w:rPr>
          <w:rFonts w:ascii="Times" w:hAnsi="Times"/>
          <w:i/>
        </w:rPr>
        <w:t>In situ</w:t>
      </w:r>
      <w:r w:rsidRPr="00114AD7">
        <w:rPr>
          <w:rFonts w:ascii="Times" w:hAnsi="Times"/>
        </w:rPr>
        <w:t xml:space="preserve"> </w:t>
      </w:r>
      <w:r w:rsidR="0003720F" w:rsidRPr="00114AD7">
        <w:rPr>
          <w:rFonts w:ascii="Times" w:hAnsi="Times"/>
        </w:rPr>
        <w:t>observations</w:t>
      </w:r>
      <w:r w:rsidRPr="00114AD7">
        <w:rPr>
          <w:rFonts w:ascii="Times" w:hAnsi="Times"/>
        </w:rPr>
        <w:t xml:space="preserve">, such as biomonitoring, give insight into how a specific location’s environment impacts local populations; however, controlled laboratory exposures can provide greater information on specific responses to targeted stressors.  In a laboratory setting, dose-dependent responses can also be more easily established (e.g. </w:t>
      </w:r>
      <w:r w:rsidRPr="00114AD7">
        <w:rPr>
          <w:rFonts w:ascii="Times" w:hAnsi="Times"/>
        </w:rPr>
        <w:fldChar w:fldCharType="begin" w:fldLock="1"/>
      </w:r>
      <w:r w:rsidRPr="00114AD7">
        <w:rPr>
          <w:rFonts w:ascii="Times" w:hAnsi="Times"/>
        </w:rPr>
        <w:instrText>ADDIN CSL_CITATION { "citationItems" : [ { "id" : "ITEM-1", "itemData" : { "DOI" : "10.1016/j.aquatox.2011.09.003", "ISSN" : "1879-1514", "PMID" : "21963596", "abstract" : "Understanding the toxic mechanisms by which organisms cope to environmental stressful conditions is a fundamental question for ecotoxicology. In this study, we evaluated biochemical responses and hydrocarbons bioaccumulation of the mangrove oyster Crassostrea brasiliana exposed for 96 h to four sublethal concentrations of diesel fuel water-accommodated fraction (WAF). For that purpose, enzymatic activities (SOD, CAT, GPx, GR, G6PDH, GST and GGT), HSP60 and HSP90 immunocontent and lipid peroxidation (LPO) levels were determined in the gill and digestive gland of oysters and related to the hydrocarbons accumulated in the whole soft tissues. The results of this study revealed clear biochemical responses to diesel fuel WAF exposure in both tissues of the oyster. The capacity of C. brasiliana to bioaccumulate aliphatic and aromatic hydrocarbons in a dose-dependent manner is a strong indication of its suitability as a model in biomonitoring programs along the Brazilian coast, which was also validated by the response of the antioxidant defenses, phase II biotransformation and chaperones. HSP60 levels and GGT activity were the most promising biomarkers in the gill, while GST and GR activities stood out as suitable biomarkers for the detection of diesel toxicity in the digestive gland. The decrease of SOD activity and HSP90 levels may also reflect a negative effect of diesel exposure regardless the tissue. The present results provide a sound preliminary report on the biochemical responses of C. brasiliana challenged with a petroleum by-product and should be carefully considered for use in the monitoring of oil and gas activities in Brazil.", "author" : [ { "dropping-particle" : "", "family" : "L\u00fcchmann", "given" : "Karim H", "non-dropping-particle" : "", "parse-names" : false, "suffix" : "" }, { "dropping-particle" : "", "family" : "Mattos", "given" : "Jac\u00f3 J", "non-dropping-particle" : "", "parse-names" : false, "suffix" : "" }, { "dropping-particle" : "", "family" : "Siebert", "given" : "Mar\u00edlia N", "non-dropping-particle" : "", "parse-names" : false, "suffix" : "" }, { "dropping-particle" : "", "family" : "Granucci", "given" : "Ninna", "non-dropping-particle" : "", "parse-names" : false, "suffix" : "" }, { "dropping-particle" : "", "family" : "Dorrington", "given" : "Tarquin S", "non-dropping-particle" : "", "parse-names" : false, "suffix" : "" }, { "dropping-particle" : "", "family" : "B\u00edcego", "given" : "M\u00e1rcia C", "non-dropping-particle" : "", "parse-names" : false, "suffix" : "" }, { "dropping-particle" : "", "family" : "Taniguchi", "given" : "Satie", "non-dropping-particle" : "", "parse-names" : false, "suffix" : "" }, { "dropping-particle" : "", "family" : "Sasaki", "given" : "Silvio T", "non-dropping-particle" : "", "parse-names" : false, "suffix" : "" }, { "dropping-particle" : "", "family" : "Daura-Jorge", "given" : "F\u00e1bio G", "non-dropping-particle" : "", "parse-names" : false, "suffix" : "" }, { "dropping-particle" : "", "family" : "Bainy", "given" : "Afonso C D", "non-dropping-particle" : "", "parse-names" : false, "suffix" : "" } ], "container-title" : "Aquatic toxicology (Amsterdam, Netherlands)", "id" : "ITEM-1", "issue" : "3-4", "issued" : { "date-parts" : [ [ "2011", "10" ] ] }, "page" : "652-60", "title" : "Biochemical biomarkers and hydrocarbons concentrations in the mangrove oyster Crassostrea brasiliana following exposure to diesel fuel water-accommodated fraction.", "type" : "article-journal", "volume" : "105" }, "uris" : [ "http://www.mendeley.com/documents/?uuid=56acf107-59a7-43ef-bd71-6c70bf95b971" ] } ], "mendeley" : { "manualFormatting" : "L\u00fcchmann et al., 2011)", "previouslyFormattedCitation" : "(L\u00fcchmann et al., 2011)"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Lüchmann et al., 2011)</w:t>
      </w:r>
      <w:r w:rsidRPr="00114AD7">
        <w:rPr>
          <w:rFonts w:ascii="Times" w:hAnsi="Times"/>
        </w:rPr>
        <w:fldChar w:fldCharType="end"/>
      </w:r>
      <w:r w:rsidRPr="00114AD7">
        <w:rPr>
          <w:rFonts w:ascii="Times" w:hAnsi="Times"/>
        </w:rPr>
        <w:t xml:space="preserve">.  This precise information can then be applied in a field context to better understand </w:t>
      </w:r>
      <w:r w:rsidR="0003720F" w:rsidRPr="00114AD7">
        <w:rPr>
          <w:rFonts w:ascii="Times" w:hAnsi="Times"/>
        </w:rPr>
        <w:t>how organisms react to environmental change</w:t>
      </w:r>
      <w:r w:rsidRPr="00114AD7">
        <w:rPr>
          <w:rFonts w:ascii="Times" w:hAnsi="Times"/>
        </w:rPr>
        <w:t xml:space="preserve">.  </w:t>
      </w:r>
    </w:p>
    <w:p w14:paraId="7843F788" w14:textId="38357FAB" w:rsidR="006315D6" w:rsidRPr="00114AD7" w:rsidRDefault="006315D6" w:rsidP="00E90EDA">
      <w:pPr>
        <w:spacing w:line="360" w:lineRule="auto"/>
        <w:ind w:firstLine="720"/>
        <w:rPr>
          <w:rFonts w:ascii="Times" w:hAnsi="Times"/>
        </w:rPr>
      </w:pPr>
      <w:r w:rsidRPr="00114AD7">
        <w:rPr>
          <w:rFonts w:ascii="Times" w:hAnsi="Times"/>
        </w:rPr>
        <w:t xml:space="preserve">Pacific oysters, </w:t>
      </w:r>
      <w:r w:rsidRPr="00114AD7">
        <w:rPr>
          <w:rFonts w:ascii="Times" w:hAnsi="Times"/>
          <w:i/>
        </w:rPr>
        <w:t>Crassostrea gigas</w:t>
      </w:r>
      <w:r w:rsidRPr="00114AD7">
        <w:rPr>
          <w:rFonts w:ascii="Times" w:hAnsi="Times"/>
        </w:rPr>
        <w:t>, have a long hi</w:t>
      </w:r>
      <w:r w:rsidR="00100FB6" w:rsidRPr="00114AD7">
        <w:rPr>
          <w:rFonts w:ascii="Times" w:hAnsi="Times"/>
        </w:rPr>
        <w:t>story as subjects of ecological and physiological research as well as extensive</w:t>
      </w:r>
      <w:r w:rsidRPr="00114AD7">
        <w:rPr>
          <w:rFonts w:ascii="Times" w:hAnsi="Times"/>
        </w:rPr>
        <w:t xml:space="preserve"> molecular </w:t>
      </w:r>
      <w:r w:rsidR="00100FB6" w:rsidRPr="00114AD7">
        <w:rPr>
          <w:rFonts w:ascii="Times" w:hAnsi="Times"/>
        </w:rPr>
        <w:t>resources (e.g. Zhang et al. 2012)</w:t>
      </w:r>
      <w:r w:rsidRPr="00114AD7">
        <w:rPr>
          <w:rFonts w:ascii="Times" w:hAnsi="Times"/>
        </w:rPr>
        <w:t>, making them a strong model for further explorations of response to environmental change.</w:t>
      </w:r>
      <w:r w:rsidR="0016707F" w:rsidRPr="00114AD7">
        <w:rPr>
          <w:rFonts w:ascii="Times" w:hAnsi="Times"/>
        </w:rPr>
        <w:t xml:space="preserve">  Scientific </w:t>
      </w:r>
      <w:r w:rsidR="00DB07FF" w:rsidRPr="00114AD7">
        <w:rPr>
          <w:rFonts w:ascii="Times" w:hAnsi="Times"/>
        </w:rPr>
        <w:t>investigations</w:t>
      </w:r>
      <w:r w:rsidR="0016707F" w:rsidRPr="00114AD7">
        <w:rPr>
          <w:rFonts w:ascii="Times" w:hAnsi="Times"/>
        </w:rPr>
        <w:t xml:space="preserve"> in </w:t>
      </w:r>
      <w:r w:rsidR="0016707F" w:rsidRPr="00114AD7">
        <w:rPr>
          <w:rFonts w:ascii="Times" w:hAnsi="Times"/>
          <w:i/>
        </w:rPr>
        <w:t>C. gigas</w:t>
      </w:r>
      <w:r w:rsidR="0016707F" w:rsidRPr="00114AD7">
        <w:rPr>
          <w:rFonts w:ascii="Times" w:hAnsi="Times"/>
        </w:rPr>
        <w:t xml:space="preserve"> began with </w:t>
      </w:r>
      <w:r w:rsidR="00DB07FF" w:rsidRPr="00114AD7">
        <w:rPr>
          <w:rFonts w:ascii="Times" w:hAnsi="Times"/>
        </w:rPr>
        <w:t xml:space="preserve">interest in its </w:t>
      </w:r>
      <w:r w:rsidR="0016707F" w:rsidRPr="00114AD7">
        <w:rPr>
          <w:rFonts w:ascii="Times" w:hAnsi="Times"/>
        </w:rPr>
        <w:t>aquaculture.</w:t>
      </w:r>
      <w:r w:rsidR="0003720F" w:rsidRPr="00114AD7">
        <w:rPr>
          <w:rFonts w:ascii="Times" w:hAnsi="Times"/>
        </w:rPr>
        <w:t xml:space="preserve">  </w:t>
      </w:r>
      <w:r w:rsidR="003D2C26" w:rsidRPr="00114AD7">
        <w:rPr>
          <w:rFonts w:ascii="Times" w:hAnsi="Times"/>
        </w:rPr>
        <w:t>For example, a publication on the culture of the Pacific oyster in Japan dates to 1902 (</w:t>
      </w:r>
      <w:r w:rsidR="00C7287C" w:rsidRPr="00114AD7">
        <w:rPr>
          <w:rFonts w:ascii="Times" w:hAnsi="Times"/>
        </w:rPr>
        <w:t>Dean</w:t>
      </w:r>
      <w:r w:rsidR="0016707F" w:rsidRPr="00114AD7">
        <w:rPr>
          <w:rFonts w:ascii="Times" w:hAnsi="Times"/>
        </w:rPr>
        <w:t xml:space="preserve"> 1902) and in 1930 </w:t>
      </w:r>
      <w:r w:rsidR="006D249D" w:rsidRPr="00114AD7">
        <w:rPr>
          <w:rFonts w:ascii="Times" w:hAnsi="Times"/>
        </w:rPr>
        <w:t xml:space="preserve">Galstoff published </w:t>
      </w:r>
      <w:r w:rsidR="0016707F" w:rsidRPr="00114AD7">
        <w:rPr>
          <w:rFonts w:ascii="Times" w:hAnsi="Times"/>
        </w:rPr>
        <w:t xml:space="preserve">an investigation into stimulating spawning in what was then known as </w:t>
      </w:r>
      <w:r w:rsidR="0016707F" w:rsidRPr="00114AD7">
        <w:rPr>
          <w:rFonts w:ascii="Times" w:hAnsi="Times"/>
          <w:i/>
        </w:rPr>
        <w:t>Ostrea gigas</w:t>
      </w:r>
      <w:r w:rsidR="0016707F" w:rsidRPr="00114AD7">
        <w:rPr>
          <w:rFonts w:ascii="Times" w:hAnsi="Times"/>
        </w:rPr>
        <w:t xml:space="preserve"> (Gal</w:t>
      </w:r>
      <w:r w:rsidR="00C7287C" w:rsidRPr="00114AD7">
        <w:rPr>
          <w:rFonts w:ascii="Times" w:hAnsi="Times"/>
        </w:rPr>
        <w:t>tsoff</w:t>
      </w:r>
      <w:r w:rsidR="0016707F" w:rsidRPr="00114AD7">
        <w:rPr>
          <w:rFonts w:ascii="Times" w:hAnsi="Times"/>
        </w:rPr>
        <w:t xml:space="preserve"> 1930). </w:t>
      </w:r>
      <w:r w:rsidRPr="00114AD7">
        <w:rPr>
          <w:rFonts w:ascii="Times" w:hAnsi="Times"/>
        </w:rPr>
        <w:t xml:space="preserve">  </w:t>
      </w:r>
      <w:r w:rsidRPr="00114AD7">
        <w:rPr>
          <w:rFonts w:ascii="Times" w:hAnsi="Times"/>
          <w:i/>
        </w:rPr>
        <w:t xml:space="preserve">C. gigas </w:t>
      </w:r>
      <w:r w:rsidR="0003720F" w:rsidRPr="00114AD7">
        <w:rPr>
          <w:rFonts w:ascii="Times" w:hAnsi="Times"/>
        </w:rPr>
        <w:t>and other oysters within the genus are</w:t>
      </w:r>
      <w:r w:rsidRPr="00114AD7">
        <w:rPr>
          <w:rFonts w:ascii="Times" w:hAnsi="Times"/>
        </w:rPr>
        <w:t xml:space="preserve"> dioecious</w:t>
      </w:r>
      <w:r w:rsidR="0003720F" w:rsidRPr="00114AD7">
        <w:rPr>
          <w:rFonts w:ascii="Times" w:hAnsi="Times"/>
        </w:rPr>
        <w:t>,</w:t>
      </w:r>
      <w:r w:rsidRPr="00114AD7">
        <w:rPr>
          <w:rFonts w:ascii="Times" w:hAnsi="Times"/>
        </w:rPr>
        <w:t xml:space="preserve"> broadcast spawner</w:t>
      </w:r>
      <w:r w:rsidR="0003720F" w:rsidRPr="00114AD7">
        <w:rPr>
          <w:rFonts w:ascii="Times" w:hAnsi="Times"/>
        </w:rPr>
        <w:t>s that inhabit</w:t>
      </w:r>
      <w:r w:rsidRPr="00114AD7">
        <w:rPr>
          <w:rFonts w:ascii="Times" w:hAnsi="Times"/>
        </w:rPr>
        <w:t xml:space="preserve"> intertidal</w:t>
      </w:r>
      <w:r w:rsidR="0003720F" w:rsidRPr="00114AD7">
        <w:rPr>
          <w:rFonts w:ascii="Times" w:hAnsi="Times"/>
        </w:rPr>
        <w:t xml:space="preserve"> and subtidal</w:t>
      </w:r>
      <w:r w:rsidRPr="00114AD7">
        <w:rPr>
          <w:rFonts w:ascii="Times" w:hAnsi="Times"/>
        </w:rPr>
        <w:t xml:space="preserve"> environment</w:t>
      </w:r>
      <w:r w:rsidR="0003720F" w:rsidRPr="00114AD7">
        <w:rPr>
          <w:rFonts w:ascii="Times" w:hAnsi="Times"/>
        </w:rPr>
        <w:t>s</w:t>
      </w:r>
      <w:r w:rsidRPr="00114AD7">
        <w:rPr>
          <w:rFonts w:ascii="Times" w:hAnsi="Times"/>
        </w:rPr>
        <w:t>,</w:t>
      </w:r>
      <w:r w:rsidR="0003720F" w:rsidRPr="00114AD7">
        <w:rPr>
          <w:rFonts w:ascii="Times" w:hAnsi="Times"/>
        </w:rPr>
        <w:t xml:space="preserve"> many of</w:t>
      </w:r>
      <w:r w:rsidRPr="00114AD7">
        <w:rPr>
          <w:rFonts w:ascii="Times" w:hAnsi="Times"/>
        </w:rPr>
        <w:t xml:space="preserve"> which </w:t>
      </w:r>
      <w:r w:rsidR="0003720F" w:rsidRPr="00114AD7">
        <w:rPr>
          <w:rFonts w:ascii="Times" w:hAnsi="Times"/>
        </w:rPr>
        <w:t>are</w:t>
      </w:r>
      <w:r w:rsidRPr="00114AD7">
        <w:rPr>
          <w:rFonts w:ascii="Times" w:hAnsi="Times"/>
        </w:rPr>
        <w:t xml:space="preserve"> subject to daily, seasonal, and annual environmental fluctuations.</w:t>
      </w:r>
      <w:r w:rsidR="0003720F" w:rsidRPr="00114AD7">
        <w:rPr>
          <w:rFonts w:ascii="Times" w:hAnsi="Times"/>
        </w:rPr>
        <w:t xml:space="preserve">  </w:t>
      </w:r>
      <w:r w:rsidR="0003720F" w:rsidRPr="00114AD7">
        <w:rPr>
          <w:rFonts w:ascii="Times" w:hAnsi="Times"/>
          <w:i/>
        </w:rPr>
        <w:t>C. gigas</w:t>
      </w:r>
      <w:r w:rsidR="0003720F" w:rsidRPr="00114AD7">
        <w:rPr>
          <w:rFonts w:ascii="Times" w:hAnsi="Times"/>
        </w:rPr>
        <w:t xml:space="preserve"> has a long history of exotic introduction to habitats worldwide</w:t>
      </w:r>
      <w:r w:rsidR="00F555CC" w:rsidRPr="00114AD7">
        <w:rPr>
          <w:rFonts w:ascii="Times" w:hAnsi="Times"/>
        </w:rPr>
        <w:t xml:space="preserve"> (Mann 1983)</w:t>
      </w:r>
      <w:r w:rsidR="0003720F" w:rsidRPr="00114AD7">
        <w:rPr>
          <w:rFonts w:ascii="Times" w:hAnsi="Times"/>
        </w:rPr>
        <w:t xml:space="preserve">, mainly for aquaculture production (molluscs constitute 75.5% of worldwide aquaculture, </w:t>
      </w:r>
      <w:r w:rsidR="00661422" w:rsidRPr="00114AD7">
        <w:rPr>
          <w:rFonts w:ascii="Times" w:hAnsi="Times"/>
        </w:rPr>
        <w:t>FAO 2012</w:t>
      </w:r>
      <w:r w:rsidR="0003720F" w:rsidRPr="00114AD7">
        <w:rPr>
          <w:rFonts w:ascii="Times" w:hAnsi="Times"/>
        </w:rPr>
        <w:t xml:space="preserve">) and has often been </w:t>
      </w:r>
      <w:r w:rsidR="00175E16" w:rsidRPr="00114AD7">
        <w:rPr>
          <w:rFonts w:ascii="Times" w:hAnsi="Times"/>
        </w:rPr>
        <w:t>implicated</w:t>
      </w:r>
      <w:r w:rsidR="0003720F" w:rsidRPr="00114AD7">
        <w:rPr>
          <w:rFonts w:ascii="Times" w:hAnsi="Times"/>
        </w:rPr>
        <w:t xml:space="preserve"> </w:t>
      </w:r>
      <w:r w:rsidR="00175E16" w:rsidRPr="00114AD7">
        <w:rPr>
          <w:rFonts w:ascii="Times" w:hAnsi="Times"/>
        </w:rPr>
        <w:t>in</w:t>
      </w:r>
      <w:r w:rsidR="0003720F" w:rsidRPr="00114AD7">
        <w:rPr>
          <w:rFonts w:ascii="Times" w:hAnsi="Times"/>
        </w:rPr>
        <w:t xml:space="preserve"> well documented disruptions to native species assemblages (</w:t>
      </w:r>
      <w:r w:rsidR="00E179B3" w:rsidRPr="00114AD7">
        <w:rPr>
          <w:rFonts w:ascii="Times" w:hAnsi="Times"/>
        </w:rPr>
        <w:t xml:space="preserve">Trimble et al. 2009; </w:t>
      </w:r>
      <w:r w:rsidR="00E90EDA" w:rsidRPr="00114AD7">
        <w:rPr>
          <w:rFonts w:ascii="Times" w:hAnsi="Times"/>
        </w:rPr>
        <w:t>reviewed in Padilla 2010</w:t>
      </w:r>
      <w:r w:rsidR="0003720F" w:rsidRPr="00114AD7">
        <w:rPr>
          <w:rFonts w:ascii="Times" w:hAnsi="Times"/>
        </w:rPr>
        <w:t>)</w:t>
      </w:r>
      <w:r w:rsidR="00175E16" w:rsidRPr="00114AD7">
        <w:rPr>
          <w:rFonts w:ascii="Times" w:hAnsi="Times"/>
        </w:rPr>
        <w:t>.</w:t>
      </w:r>
      <w:r w:rsidRPr="00114AD7">
        <w:rPr>
          <w:rFonts w:ascii="Times" w:hAnsi="Times"/>
        </w:rPr>
        <w:t xml:space="preserve"> </w:t>
      </w:r>
      <w:r w:rsidR="00175E16" w:rsidRPr="00114AD7">
        <w:rPr>
          <w:rFonts w:ascii="Times" w:hAnsi="Times"/>
        </w:rPr>
        <w:t xml:space="preserve"> </w:t>
      </w:r>
      <w:r w:rsidR="00921C23" w:rsidRPr="00114AD7">
        <w:rPr>
          <w:rFonts w:ascii="Times" w:hAnsi="Times"/>
        </w:rPr>
        <w:t xml:space="preserve">The same characteristics that make </w:t>
      </w:r>
      <w:r w:rsidR="00921C23" w:rsidRPr="00114AD7">
        <w:rPr>
          <w:rFonts w:ascii="Times" w:hAnsi="Times"/>
          <w:i/>
        </w:rPr>
        <w:t>C. gigas</w:t>
      </w:r>
      <w:r w:rsidR="00921C23" w:rsidRPr="00114AD7">
        <w:rPr>
          <w:rFonts w:ascii="Times" w:hAnsi="Times"/>
        </w:rPr>
        <w:t xml:space="preserve"> a successful invader</w:t>
      </w:r>
      <w:r w:rsidR="00E90EDA" w:rsidRPr="00114AD7">
        <w:rPr>
          <w:rFonts w:ascii="Times" w:hAnsi="Times"/>
        </w:rPr>
        <w:t xml:space="preserve"> (i.e. ability to withstand environmental fluctuations found in the nearshore environment, high fecundity, tolerance to a variety of diseases) suggest that this species is well adapted to environmental change, </w:t>
      </w:r>
      <w:r w:rsidRPr="00114AD7">
        <w:rPr>
          <w:rFonts w:ascii="Times" w:hAnsi="Times"/>
        </w:rPr>
        <w:t>at least the natural sources of change that it has encountered to this point.  As such, it is a robust physiological model in which to study the effects of environmental extremes.</w:t>
      </w:r>
    </w:p>
    <w:p w14:paraId="34237D11" w14:textId="77777777" w:rsidR="00DF70F0" w:rsidRDefault="00C02D9B" w:rsidP="00C02D9B">
      <w:pPr>
        <w:pStyle w:val="Heading2"/>
      </w:pPr>
      <w:bookmarkStart w:id="8" w:name="_Toc257278762"/>
      <w:r>
        <w:t>Ocean acidification</w:t>
      </w:r>
      <w:bookmarkEnd w:id="8"/>
    </w:p>
    <w:p w14:paraId="71B22556" w14:textId="77777777" w:rsidR="00D92FB6" w:rsidRPr="00D92FB6" w:rsidRDefault="00D92FB6" w:rsidP="00D92FB6"/>
    <w:p w14:paraId="507E61DD" w14:textId="03400683" w:rsidR="006315D6" w:rsidRPr="00114AD7" w:rsidRDefault="006315D6" w:rsidP="006315D6">
      <w:pPr>
        <w:spacing w:line="360" w:lineRule="auto"/>
        <w:ind w:firstLine="720"/>
        <w:rPr>
          <w:rFonts w:ascii="Times" w:hAnsi="Times"/>
        </w:rPr>
      </w:pPr>
      <w:r w:rsidRPr="00114AD7">
        <w:rPr>
          <w:rFonts w:ascii="Times" w:hAnsi="Times"/>
        </w:rPr>
        <w:t>Ocean acidification is the reduction of ocean water pH due directly to rising levels of atmospheric CO</w:t>
      </w:r>
      <w:r w:rsidRPr="00114AD7">
        <w:rPr>
          <w:rFonts w:ascii="Times" w:hAnsi="Times"/>
          <w:vertAlign w:val="subscript"/>
        </w:rPr>
        <w:t>2</w:t>
      </w:r>
      <w:r w:rsidRPr="00114AD7">
        <w:rPr>
          <w:rFonts w:ascii="Times" w:hAnsi="Times"/>
        </w:rPr>
        <w:t xml:space="preserve">.  Since the industrial revolution </w:t>
      </w:r>
      <w:r w:rsidR="005C024F" w:rsidRPr="00114AD7">
        <w:rPr>
          <w:rFonts w:ascii="Times" w:hAnsi="Times"/>
        </w:rPr>
        <w:t>(beginning in the 1750s)</w:t>
      </w:r>
      <w:r w:rsidRPr="00114AD7">
        <w:rPr>
          <w:rFonts w:ascii="Times" w:hAnsi="Times"/>
        </w:rPr>
        <w:t>, CO</w:t>
      </w:r>
      <w:r w:rsidRPr="00114AD7">
        <w:rPr>
          <w:rFonts w:ascii="Times" w:hAnsi="Times"/>
          <w:vertAlign w:val="subscript"/>
        </w:rPr>
        <w:t>2</w:t>
      </w:r>
      <w:r w:rsidRPr="00114AD7">
        <w:rPr>
          <w:rFonts w:ascii="Times" w:hAnsi="Times"/>
        </w:rPr>
        <w:t xml:space="preserve"> deposition into the atmospheric has increased at an accelerating rate.  The increasing partial pressure of CO</w:t>
      </w:r>
      <w:r w:rsidRPr="00114AD7">
        <w:rPr>
          <w:rFonts w:ascii="Times" w:hAnsi="Times"/>
          <w:vertAlign w:val="subscript"/>
        </w:rPr>
        <w:t>2</w:t>
      </w:r>
      <w:r w:rsidRPr="00114AD7">
        <w:rPr>
          <w:rFonts w:ascii="Times" w:hAnsi="Times"/>
        </w:rPr>
        <w:t xml:space="preserve">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w:t>
      </w:r>
      <w:r w:rsidR="005C024F" w:rsidRPr="00114AD7">
        <w:rPr>
          <w:rFonts w:ascii="Times" w:hAnsi="Times"/>
        </w:rPr>
        <w:t>and</w:t>
      </w:r>
      <w:r w:rsidRPr="00114AD7">
        <w:rPr>
          <w:rFonts w:ascii="Times" w:hAnsi="Times"/>
        </w:rPr>
        <w:t xml:space="preserve"> other greenhouse gases, </w:t>
      </w:r>
      <w:r w:rsidR="005C024F" w:rsidRPr="00114AD7">
        <w:rPr>
          <w:rFonts w:ascii="Times" w:hAnsi="Times"/>
        </w:rPr>
        <w:t>have</w:t>
      </w:r>
      <w:r w:rsidRPr="00114AD7">
        <w:rPr>
          <w:rFonts w:ascii="Times" w:hAnsi="Times"/>
        </w:rPr>
        <w:t xml:space="preserve"> contributed </w:t>
      </w:r>
      <w:r w:rsidR="005C024F" w:rsidRPr="00114AD7">
        <w:rPr>
          <w:rFonts w:ascii="Times" w:hAnsi="Times"/>
        </w:rPr>
        <w:t xml:space="preserve">an overall global warming. </w:t>
      </w:r>
      <w:r w:rsidRPr="00114AD7">
        <w:rPr>
          <w:rFonts w:ascii="Times" w:hAnsi="Times"/>
        </w:rPr>
        <w:t xml:space="preserve"> </w:t>
      </w:r>
      <w:r w:rsidR="005C024F" w:rsidRPr="00114AD7">
        <w:rPr>
          <w:rFonts w:ascii="Times" w:hAnsi="Times"/>
        </w:rPr>
        <w:t>O</w:t>
      </w:r>
      <w:r w:rsidRPr="00114AD7">
        <w:rPr>
          <w:rFonts w:ascii="Times" w:hAnsi="Times"/>
        </w:rPr>
        <w:t>cean acidification</w:t>
      </w:r>
      <w:r w:rsidR="005C024F" w:rsidRPr="00114AD7">
        <w:rPr>
          <w:rFonts w:ascii="Times" w:hAnsi="Times"/>
        </w:rPr>
        <w:t xml:space="preserve"> is also due to increased </w:t>
      </w:r>
      <w:r w:rsidR="005C024F" w:rsidRPr="00114AD7">
        <w:rPr>
          <w:rFonts w:ascii="Times" w:hAnsi="Times"/>
          <w:i/>
        </w:rPr>
        <w:t>p</w:t>
      </w:r>
      <w:r w:rsidR="005C024F" w:rsidRPr="00114AD7">
        <w:rPr>
          <w:rFonts w:ascii="Times" w:hAnsi="Times"/>
        </w:rPr>
        <w:t>CO</w:t>
      </w:r>
      <w:r w:rsidR="005C024F" w:rsidRPr="00114AD7">
        <w:rPr>
          <w:rFonts w:ascii="Times" w:hAnsi="Times"/>
          <w:vertAlign w:val="subscript"/>
        </w:rPr>
        <w:t>2</w:t>
      </w:r>
      <w:r w:rsidR="005C024F" w:rsidRPr="00114AD7">
        <w:rPr>
          <w:rFonts w:ascii="Times" w:hAnsi="Times"/>
        </w:rPr>
        <w:t xml:space="preserve"> in seawater</w:t>
      </w:r>
      <w:r w:rsidRPr="00114AD7">
        <w:rPr>
          <w:rFonts w:ascii="Times" w:hAnsi="Times"/>
        </w:rPr>
        <w:t xml:space="preserve">.  Current average atmospheric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is approximately 400 ppm, higher than the highest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over the past 2.1 million years (approximately 300 ppm; </w:t>
      </w:r>
      <w:r w:rsidRPr="00114AD7">
        <w:rPr>
          <w:rFonts w:ascii="Times" w:hAnsi="Times"/>
        </w:rPr>
        <w:fldChar w:fldCharType="begin" w:fldLock="1"/>
      </w:r>
      <w:r w:rsidRPr="00114AD7">
        <w:rPr>
          <w:rFonts w:ascii="Times" w:hAnsi="Times"/>
        </w:rPr>
        <w:instrText>ADDIN CSL_CITATION { "citationItems" : [ { "id" : "ITEM-1", "itemData" : { "DOI" : "10.1126/science.1171477", "ISSN" : "1095-9203", "PMID" : "19541994", "abstract" : "The dominant period of Pleistocene glacial cycles changed during the mid-Pleistocene from 40,000 years to 100,000 years, for as yet unknown reasons. Here we present a 2.1-million-year record of sea surface partial pressure of CO2 (Pco2), based on boron isotopes in planktic foraminifer shells, which suggests that the atmospheric partial pressure of CO2 (pco2) was relatively stable before the mid-Pleistocene climate transition. Glacial Pco2 was approximately 31 microatmospheres higher before the transition (more than 1 million years ago), but interglacial Pco2 was similar to that of late Pleistocene interglacial cycles (&lt;450,000 years ago). These estimates are consistent with a close linkage between atmospheric CO2 concentration and global climate, but the lack of a gradual decrease in interglacial Pco2 does not support the suggestion that a long-term drawdown of atmospheric CO2 was the main cause of the climate transition.", "author" : [ { "dropping-particle" : "", "family" : "H\u00f6nisch", "given" : "B\u00e4rbel", "non-dropping-particle" : "", "parse-names" : false, "suffix" : "" }, { "dropping-particle" : "", "family" : "Hemming", "given" : "N Gary", "non-dropping-particle" : "", "parse-names" : false, "suffix" : "" }, { "dropping-particle" : "", "family" : "Archer", "given" : "David", "non-dropping-particle" : "", "parse-names" : false, "suffix" : "" }, { "dropping-particle" : "", "family" : "Siddall", "given" : "Mark", "non-dropping-particle" : "", "parse-names" : false, "suffix" : "" }, { "dropping-particle" : "", "family" : "McManus", "given" : "Jerry F", "non-dropping-particle" : "", "parse-names" : false, "suffix" : "" } ], "container-title" : "Science (New York, N.Y.)", "id" : "ITEM-1", "issue" : "5934", "issued" : { "date-parts" : [ [ "2009", "6", "19" ] ] }, "page" : "1551-4", "title" : "Atmospheric carbon dioxide concentration across the mid-Pleistocene transition.", "type" : "article-journal", "volume" : "324" }, "uris" : [ "http://www.mendeley.com/documents/?uuid=5bf37fb8-0bd7-41ee-bc33-1c8fe5e8fe6e" ] } ], "mendeley" : { "manualFormatting" : "H\u00f6nisch et al. 2009)", "previouslyFormattedCitation" : "(H\u00f6nisch, Hemming, Archer, Siddall, &amp; McManus, 2009)"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Hönisch et al. 2009)</w:t>
      </w:r>
      <w:r w:rsidRPr="00114AD7">
        <w:rPr>
          <w:rFonts w:ascii="Times" w:hAnsi="Times"/>
        </w:rPr>
        <w:fldChar w:fldCharType="end"/>
      </w:r>
      <w:r w:rsidRPr="00114AD7">
        <w:rPr>
          <w:rFonts w:ascii="Times" w:hAnsi="Times"/>
        </w:rPr>
        <w:t>.  According to the Intergovernmental Panel on Climate Change’s (IPCC) B1 scenario (stabilized population growth by 2050 and a more service- and information–driven economy), average global CO</w:t>
      </w:r>
      <w:r w:rsidRPr="00114AD7">
        <w:rPr>
          <w:rFonts w:ascii="Times" w:hAnsi="Times"/>
          <w:vertAlign w:val="subscript"/>
        </w:rPr>
        <w:t>2</w:t>
      </w:r>
      <w:r w:rsidRPr="00114AD7">
        <w:rPr>
          <w:rFonts w:ascii="Times" w:hAnsi="Times"/>
        </w:rPr>
        <w:t xml:space="preserve"> emissions will attain 650 ppm by 2100 </w:t>
      </w:r>
      <w:r w:rsidRPr="00114AD7">
        <w:rPr>
          <w:rFonts w:ascii="Times" w:hAnsi="Times"/>
        </w:rPr>
        <w:fldChar w:fldCharType="begin" w:fldLock="1"/>
      </w:r>
      <w:r w:rsidRPr="00114AD7">
        <w:rPr>
          <w:rFonts w:ascii="Times" w:hAnsi="Times"/>
        </w:rPr>
        <w:instrText>ADDIN CSL_CITATION { "citationItems" : [ { "id" : "ITEM-1", "itemData" : { "DOI" : "10.1029/2004JC002671", "ISSN" : "0148-0227", "author" : [ { "dropping-particle" : "", "family" : "Caldeira", "given" : "Ken", "non-dropping-particle" : "", "parse-names" : false, "suffix" : "" }, { "dropping-particle" : "", "family" : "Wickett", "given" : "Michael E.", "non-dropping-particle" : "", "parse-names" : false, "suffix" : "" } ], "container-title" : "Journal of Geophysical Research", "id" : "ITEM-1", "issue" : "C9", "issued" : { "date-parts" : [ [ "2005" ] ] }, "page" : "C09S04", "title" : "Ocean model predictions of chemistry changes from carbon dioxide emissions to the atmosphere and ocean", "type" : "article-journal", "volume" : "110" }, "uris" : [ "http://www.mendeley.com/documents/?uuid=54c72917-b3d0-444a-86a1-e0985006d608" ] } ], "mendeley" : { "manualFormatting" : "(Caldeira and Wickett 2005)", "previouslyFormattedCitation" : "(Caldeira &amp; Wickett, 2005)"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(Caldeira and Wickett 2005)</w:t>
      </w:r>
      <w:r w:rsidRPr="00114AD7">
        <w:rPr>
          <w:rFonts w:ascii="Times" w:hAnsi="Times"/>
        </w:rPr>
        <w:fldChar w:fldCharType="end"/>
      </w:r>
      <w:r w:rsidRPr="00114AD7">
        <w:rPr>
          <w:rFonts w:ascii="Times" w:hAnsi="Times"/>
        </w:rPr>
        <w:t xml:space="preserve">.  If population growth occurs at a higher rate accompanied by slow economic development and limited technological changes (IPCC’s A2 scenario), emissions will likely reach 970 ppm by 2100 </w:t>
      </w:r>
      <w:r w:rsidRPr="00114AD7">
        <w:rPr>
          <w:rFonts w:ascii="Times" w:hAnsi="Times"/>
        </w:rPr>
        <w:fldChar w:fldCharType="begin" w:fldLock="1"/>
      </w:r>
      <w:r w:rsidRPr="00114AD7">
        <w:rPr>
          <w:rFonts w:ascii="Times" w:hAnsi="Times"/>
        </w:rPr>
        <w:instrText>ADDIN CSL_CITATION { "citationItems" : [ { "id" : "ITEM-1", "itemData" : { "DOI" : "10.1029/2004JC002671", "ISSN" : "0148-0227", "author" : [ { "dropping-particle" : "", "family" : "Caldeira", "given" : "Ken", "non-dropping-particle" : "", "parse-names" : false, "suffix" : "" }, { "dropping-particle" : "", "family" : "Wickett", "given" : "Michael E.", "non-dropping-particle" : "", "parse-names" : false, "suffix" : "" } ], "container-title" : "Journal of Geophysical Research", "id" : "ITEM-1", "issue" : "C9", "issued" : { "date-parts" : [ [ "2005" ] ] }, "page" : "C09S04", "title" : "Ocean model predictions of chemistry changes from carbon dioxide emissions to the atmosphere and ocean", "type" : "article-journal", "volume" : "110" }, "uris" : [ "http://www.mendeley.com/documents/?uuid=54c72917-b3d0-444a-86a1-e0985006d608" ] } ], "mendeley" : { "manualFormatting" : "(Caldeira and Wickett 2005)", "previouslyFormattedCitation" : "(Caldeira &amp; Wickett, 2005)"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(Caldeira and Wickett 2005)</w:t>
      </w:r>
      <w:r w:rsidRPr="00114AD7">
        <w:rPr>
          <w:rFonts w:ascii="Times" w:hAnsi="Times"/>
        </w:rPr>
        <w:fldChar w:fldCharType="end"/>
      </w:r>
      <w:r w:rsidRPr="00114AD7">
        <w:rPr>
          <w:rFonts w:ascii="Times" w:hAnsi="Times"/>
        </w:rPr>
        <w:t xml:space="preserve">.  The atmospheric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increases that have already occurred have caused a global trend of </w:t>
      </w:r>
      <w:r w:rsidR="005C024F" w:rsidRPr="00114AD7">
        <w:rPr>
          <w:rFonts w:ascii="Times" w:hAnsi="Times"/>
        </w:rPr>
        <w:t>an increasingly more shallow</w:t>
      </w:r>
      <w:r w:rsidRPr="00114AD7">
        <w:rPr>
          <w:rFonts w:ascii="Times" w:hAnsi="Times"/>
        </w:rPr>
        <w:t xml:space="preserve"> undersaturation horizon of CaCO</w:t>
      </w:r>
      <w:r w:rsidRPr="00114AD7">
        <w:rPr>
          <w:rFonts w:ascii="Times" w:hAnsi="Times"/>
          <w:vertAlign w:val="subscript"/>
        </w:rPr>
        <w:t>3</w:t>
      </w:r>
      <w:r w:rsidRPr="00114AD7">
        <w:rPr>
          <w:rFonts w:ascii="Times" w:hAnsi="Times"/>
        </w:rPr>
        <w:t xml:space="preserve"> </w:t>
      </w:r>
      <w:r w:rsidRPr="00114AD7">
        <w:rPr>
          <w:rFonts w:ascii="Times" w:hAnsi="Times"/>
        </w:rPr>
        <w:fldChar w:fldCharType="begin" w:fldLock="1"/>
      </w:r>
      <w:r w:rsidRPr="00114AD7">
        <w:rPr>
          <w:rFonts w:ascii="Times" w:hAnsi="Times"/>
        </w:rPr>
        <w:instrText>ADDIN CSL_CITATION { "citationItems" : [ { "id" : "ITEM-1",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"ITEM-1", "issue" : "3", "issued" : { "date-parts" : [ [ "2012", "9", "4" ] ] }, "page" : "n/a-n/a", "title" : "Decadal changes in the aragonite and calcite saturation state of the Pacific Ocean", "type" : "article-journal", "volume" : "26" }, "uris" : [ "http://www.mendeley.com/documents/?uuid=5f9af3fa-4819-4b6f-ad16-2e10bfb13f85" ] }, { "id" : "ITEM-2", "itemData" : { "DOI" : "10.1126/science.1097329", "ISSN" : "1095-9203", "PMID" : "15256664", "abstract" : "Rising atmospheric carbon dioxide (CO2) concentrations over the past two centuries have led to greater CO2 uptake by the oceans. This acidification process has changed the saturation state of the oceans with respect to calcium carbonate (CaCO3) particles. Here we estimate the in situ CaCO3 dissolution rates for the global oceans from total alkalinity and chlorofluorocarbon data, and we also discuss the future impacts of anthropogenic CO2 on CaCO3 shell-forming species. CaCO3 dissolution rates, ranging from 0.003 to 1.2 micromoles per kilogram per year, are observed beginning near the aragonite saturation horizon. The total water column CaCO3 dissolution rate for the global oceans is approximately 0.5 +/- 0.2 petagrams of CaCO3-C per year, which is approximately 45 to 65% of the export production of CaCO3.", "author" : [ { "dropping-particle" : "", "family" : "Feely", "given" : "Richard a", "non-dropping-particle" : "", "parse-names" : false, "suffix" : "" }, { "dropping-particle" : "", "family" : "Sabine", "given" : "Christopher L", "non-dropping-particle" : "", "parse-names" : false, "suffix" : "" }, { "dropping-particle" : "", "family" : "Lee", "given" : "Kitack", "non-dropping-particle" : "", "parse-names" : false, "suffix" : "" }, { "dropping-particle" : "", "family" : "Berelson", "given" : "Will", "non-dropping-particle" : "", "parse-names" : false, "suffix" : "" }, { "dropping-particle" : "", "family" : "Kleypas", "given" : "Joanie", "non-dropping-particle" : "", "parse-names" : false, "suffix" : "" }, { "dropping-particle" : "", "family" : "Fabry", "given" : "Victoria J", "non-dropping-particle" : "", "parse-names" : false, "suffix" : "" }, { "dropping-particle" : "", "family" : "Millero", "given" : "Frank J", "non-dropping-particle" : "", "parse-names" : false, "suffix" : "" } ], "container-title" : "Science (New York, N.Y.)", "id" : "ITEM-2", "issue" : "5682", "issued" : { "date-parts" : [ [ "2004", "7", "16" ] ] }, "page" : "362-6", "title" : "Impact of anthropogenic CO2 on the CaCO3 system in the oceans.", "type" : "article-journal", "volume" : "305" }, "uris" : [ "http://www.mendeley.com/documents/?uuid=81c64e48-9558-4d17-bb7f-a1935ef40a7e" ] } ], "mendeley" : { "previouslyFormattedCitation" : "(Feely et al., 2004, 2012)"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(Feely et al., 2004, 2012)</w:t>
      </w:r>
      <w:r w:rsidRPr="00114AD7">
        <w:rPr>
          <w:rFonts w:ascii="Times" w:hAnsi="Times"/>
        </w:rPr>
        <w:fldChar w:fldCharType="end"/>
      </w:r>
      <w:r w:rsidRPr="00114AD7">
        <w:rPr>
          <w:rFonts w:ascii="Times" w:hAnsi="Times"/>
        </w:rPr>
        <w:t xml:space="preserve">, which is projected to become more persistent and widespread by 2050 and beyond </w:t>
      </w:r>
      <w:r w:rsidRPr="00114AD7">
        <w:rPr>
          <w:rFonts w:ascii="Times" w:hAnsi="Times"/>
        </w:rPr>
        <w:fldChar w:fldCharType="begin" w:fldLock="1"/>
      </w:r>
      <w:r w:rsidRPr="00114AD7">
        <w:rPr>
          <w:rFonts w:ascii="Times" w:hAnsi="Times"/>
        </w:rPr>
        <w:instrText>ADDIN CSL_CITATION { "citationItems" : [ { "id" : "ITEM-1", "itemData" : { "DOI" : "10.1126/science.1216773", "ISSN" : "1095-9203", "PMID" : "22700658", "abstract" : "Nearshore waters of the California Current System (California CS) already have a low carbonate saturation state, making them particularly susceptible to ocean acidification. We used eddy-resolving model simulations to study the potential development of ocean acidification in this system up to the year 2050 under the Special Report on Emissions Scenarios A2 and B1 scenarios. In both scenarios, the saturation state of aragonite \u2126(arag) is projected to drop rapidly, with much of the nearshore region developing summer-long undersaturation in the top 60 meters within the next 30 years. By 2050, waters with \u2126(arag) above 1.5 will have largely disappeared, and more than half of the waters will be undersaturated year-round. Habitats along the sea floor will become exposed to year-round undersaturation within the next 20 to 30 years. These projected events have potentially major implications for the rich and diverse ecosystem that characterizes the California CS.", "author" : [ { "dropping-particle" : "", "family" : "Gruber", "given" : "Nicolas", "non-dropping-particle" : "", "parse-names" : false, "suffix" : "" }, { "dropping-particle" : "", "family" : "Hauri", "given" : "Claudine", "non-dropping-particle" : "", "parse-names" : false, "suffix" : "" }, { "dropping-particle" : "", "family" : "Lachkar", "given" : "Zouhair", "non-dropping-particle" : "", "parse-names" : false, "suffix" : "" }, { "dropping-particle" : "", "family" : "Loher", "given" : "Damian", "non-dropping-particle" : "", "parse-names" : false, "suffix" : "" }, { "dropping-particle" : "", "family" : "Fr\u00f6licher", "given" : "Thomas L", "non-dropping-particle" : "", "parse-names" : false, "suffix" : "" }, { "dropping-particle" : "", "family" : "Plattner", "given" : "Gian-Kasper", "non-dropping-particle" : "", "parse-names" : false, "suffix" : "" } ], "container-title" : "Science (New York, N.Y.)", "id" : "ITEM-1", "issue" : "6091", "issued" : { "date-parts" : [ [ "2012", "7", "13" ] ] }, "page" : "220-3", "title" : "Rapid progression of ocean acidification in the California Current System.", "type" : "article-journal", "volume" : "337" }, "uris" : [ "http://www.mendeley.com/documents/?uuid=fd7f6cce-a586-4e59-8a90-9d2acdda7f94" ] } ], "mendeley" : { "previouslyFormattedCitation" : "(Gruber et al., 2012)"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(Gruber et al., 2012)</w:t>
      </w:r>
      <w:r w:rsidRPr="00114AD7">
        <w:rPr>
          <w:rFonts w:ascii="Times" w:hAnsi="Times"/>
        </w:rPr>
        <w:fldChar w:fldCharType="end"/>
      </w:r>
      <w:r w:rsidRPr="00114AD7">
        <w:rPr>
          <w:rFonts w:ascii="Times" w:hAnsi="Times"/>
        </w:rPr>
        <w:t>.</w:t>
      </w:r>
    </w:p>
    <w:p w14:paraId="2F79B995" w14:textId="77777777" w:rsidR="006315D6" w:rsidRPr="006315D6" w:rsidRDefault="006315D6" w:rsidP="006315D6"/>
    <w:p w14:paraId="5081D442" w14:textId="77777777" w:rsidR="00C02D9B" w:rsidRDefault="00C02D9B" w:rsidP="00C02D9B">
      <w:pPr>
        <w:pStyle w:val="Heading3"/>
      </w:pPr>
      <w:bookmarkStart w:id="9" w:name="_Toc257278763"/>
      <w:r>
        <w:t>Chemistry</w:t>
      </w:r>
      <w:bookmarkEnd w:id="9"/>
    </w:p>
    <w:p w14:paraId="1D4EC396" w14:textId="77777777" w:rsidR="00D92FB6" w:rsidRPr="00D92FB6" w:rsidRDefault="00D92FB6" w:rsidP="00D92FB6"/>
    <w:p w14:paraId="645B9C1B" w14:textId="77777777" w:rsidR="006315D6" w:rsidRPr="00114AD7" w:rsidRDefault="006315D6" w:rsidP="006315D6">
      <w:pPr>
        <w:spacing w:line="360" w:lineRule="auto"/>
        <w:ind w:firstLine="720"/>
        <w:rPr>
          <w:rFonts w:ascii="Times" w:hAnsi="Times"/>
        </w:rPr>
      </w:pPr>
      <w:r w:rsidRPr="00114AD7">
        <w:rPr>
          <w:rFonts w:ascii="Times" w:hAnsi="Times"/>
        </w:rPr>
        <w:t>The reduction in pH from atmospheric CO</w:t>
      </w:r>
      <w:r w:rsidRPr="00114AD7">
        <w:rPr>
          <w:rFonts w:ascii="Times" w:hAnsi="Times"/>
          <w:vertAlign w:val="subscript"/>
        </w:rPr>
        <w:t>2</w:t>
      </w:r>
      <w:r w:rsidRPr="00114AD7">
        <w:rPr>
          <w:rFonts w:ascii="Times" w:hAnsi="Times"/>
        </w:rPr>
        <w:t xml:space="preserve"> equilibration with ocean water occurs according to the following reaction:</w:t>
      </w:r>
    </w:p>
    <w:p w14:paraId="2980B145" w14:textId="77777777" w:rsidR="006315D6" w:rsidRPr="00114AD7" w:rsidRDefault="006315D6" w:rsidP="006315D6">
      <w:pPr>
        <w:spacing w:line="360" w:lineRule="auto"/>
        <w:rPr>
          <w:rFonts w:ascii="Times" w:hAnsi="Times"/>
        </w:rPr>
      </w:pPr>
    </w:p>
    <w:p w14:paraId="491D6867" w14:textId="17DA3087" w:rsidR="006315D6" w:rsidRPr="00114AD7" w:rsidRDefault="006315D6" w:rsidP="006315D6">
      <w:pPr>
        <w:spacing w:line="360" w:lineRule="auto"/>
        <w:rPr>
          <w:rFonts w:ascii="Times" w:hAnsi="Times"/>
        </w:rPr>
      </w:pPr>
      <w:r w:rsidRPr="00114AD7">
        <w:rPr>
          <w:rFonts w:ascii="Times" w:hAnsi="Times"/>
        </w:rPr>
        <w:t>CO</w:t>
      </w:r>
      <w:r w:rsidRPr="00114AD7">
        <w:rPr>
          <w:rFonts w:ascii="Times" w:hAnsi="Times"/>
          <w:vertAlign w:val="subscript"/>
        </w:rPr>
        <w:t>2</w:t>
      </w:r>
      <w:r w:rsidRPr="00114AD7">
        <w:rPr>
          <w:rFonts w:ascii="Times" w:hAnsi="Times"/>
        </w:rPr>
        <w:t xml:space="preserve"> + H</w:t>
      </w:r>
      <w:r w:rsidRPr="00114AD7">
        <w:rPr>
          <w:rFonts w:ascii="Times" w:hAnsi="Times"/>
          <w:vertAlign w:val="subscript"/>
        </w:rPr>
        <w:t>2</w:t>
      </w:r>
      <w:r w:rsidR="000F7C6D">
        <w:rPr>
          <w:rFonts w:ascii="Times" w:hAnsi="Times"/>
        </w:rPr>
        <w:t xml:space="preserve">O  </w:t>
      </w:r>
      <w:r w:rsidR="000F7C6D">
        <w:rPr>
          <w:rFonts w:ascii="Wingdings" w:hAnsi="Wingdings"/>
        </w:rPr>
        <w:t></w:t>
      </w:r>
      <w:r w:rsidRPr="00114AD7">
        <w:rPr>
          <w:rFonts w:ascii="Times" w:hAnsi="Times"/>
        </w:rPr>
        <w:t xml:space="preserve"> H</w:t>
      </w:r>
      <w:r w:rsidRPr="00114AD7">
        <w:rPr>
          <w:rFonts w:ascii="Times" w:hAnsi="Times"/>
          <w:vertAlign w:val="subscript"/>
        </w:rPr>
        <w:t>2</w:t>
      </w:r>
      <w:r w:rsidRPr="00114AD7">
        <w:rPr>
          <w:rFonts w:ascii="Times" w:hAnsi="Times"/>
        </w:rPr>
        <w:t>CO</w:t>
      </w:r>
      <w:r w:rsidRPr="00114AD7">
        <w:rPr>
          <w:rFonts w:ascii="Times" w:hAnsi="Times"/>
          <w:vertAlign w:val="subscript"/>
        </w:rPr>
        <w:t>3</w:t>
      </w:r>
      <w:r w:rsidR="000F7C6D">
        <w:rPr>
          <w:rFonts w:ascii="Times" w:hAnsi="Times"/>
        </w:rPr>
        <w:t xml:space="preserve"> </w:t>
      </w:r>
      <w:r w:rsidR="000F7C6D">
        <w:rPr>
          <w:rFonts w:ascii="Wingdings" w:hAnsi="Wingdings"/>
        </w:rPr>
        <w:t></w:t>
      </w:r>
      <w:r w:rsidRPr="00114AD7">
        <w:rPr>
          <w:rFonts w:ascii="Times" w:hAnsi="Times"/>
        </w:rPr>
        <w:t xml:space="preserve"> H</w:t>
      </w:r>
      <w:r w:rsidRPr="00114AD7">
        <w:rPr>
          <w:rFonts w:ascii="Times" w:hAnsi="Times"/>
          <w:vertAlign w:val="superscript"/>
        </w:rPr>
        <w:t>+</w:t>
      </w:r>
      <w:r w:rsidRPr="00114AD7">
        <w:rPr>
          <w:rFonts w:ascii="Times" w:hAnsi="Times"/>
        </w:rPr>
        <w:t xml:space="preserve"> + HCO</w:t>
      </w:r>
      <w:r w:rsidRPr="00114AD7">
        <w:rPr>
          <w:rFonts w:ascii="Times" w:hAnsi="Times"/>
          <w:vertAlign w:val="subscript"/>
        </w:rPr>
        <w:t>3</w:t>
      </w:r>
      <w:r w:rsidRPr="00114AD7">
        <w:rPr>
          <w:rFonts w:ascii="Times" w:hAnsi="Times"/>
          <w:vertAlign w:val="superscript"/>
        </w:rPr>
        <w:t>-</w:t>
      </w:r>
      <w:r w:rsidR="000F7C6D">
        <w:rPr>
          <w:rFonts w:ascii="Times" w:hAnsi="Times"/>
        </w:rPr>
        <w:t xml:space="preserve"> </w:t>
      </w:r>
      <w:r w:rsidR="000F7C6D">
        <w:rPr>
          <w:rFonts w:ascii="Wingdings" w:hAnsi="Wingdings"/>
        </w:rPr>
        <w:t></w:t>
      </w:r>
      <w:r w:rsidRPr="00114AD7">
        <w:rPr>
          <w:rFonts w:ascii="Times" w:hAnsi="Times"/>
        </w:rPr>
        <w:t xml:space="preserve"> H</w:t>
      </w:r>
      <w:r w:rsidRPr="00114AD7">
        <w:rPr>
          <w:rFonts w:ascii="Times" w:hAnsi="Times"/>
          <w:vertAlign w:val="superscript"/>
        </w:rPr>
        <w:t>+</w:t>
      </w:r>
      <w:r w:rsidRPr="00114AD7">
        <w:rPr>
          <w:rFonts w:ascii="Times" w:hAnsi="Times"/>
        </w:rPr>
        <w:t xml:space="preserve"> + CO</w:t>
      </w:r>
      <w:r w:rsidRPr="00114AD7">
        <w:rPr>
          <w:rFonts w:ascii="Times" w:hAnsi="Times"/>
          <w:vertAlign w:val="subscript"/>
        </w:rPr>
        <w:t>3</w:t>
      </w:r>
      <w:r w:rsidRPr="00114AD7">
        <w:rPr>
          <w:rFonts w:ascii="Times" w:hAnsi="Times"/>
          <w:vertAlign w:val="superscript"/>
        </w:rPr>
        <w:t>2-</w:t>
      </w:r>
    </w:p>
    <w:p w14:paraId="083B0413" w14:textId="77777777" w:rsidR="006315D6" w:rsidRPr="00114AD7" w:rsidRDefault="006315D6" w:rsidP="006315D6">
      <w:pPr>
        <w:spacing w:line="360" w:lineRule="auto"/>
        <w:rPr>
          <w:rFonts w:ascii="Times" w:hAnsi="Times"/>
        </w:rPr>
      </w:pPr>
    </w:p>
    <w:p w14:paraId="5B17F969" w14:textId="0D61E932" w:rsidR="006315D6" w:rsidRPr="00114AD7" w:rsidRDefault="006315D6" w:rsidP="006315D6">
      <w:pPr>
        <w:spacing w:line="360" w:lineRule="auto"/>
        <w:rPr>
          <w:rFonts w:ascii="Times" w:hAnsi="Times"/>
        </w:rPr>
      </w:pPr>
      <w:r w:rsidRPr="00114AD7">
        <w:rPr>
          <w:rFonts w:ascii="Times" w:hAnsi="Times"/>
        </w:rPr>
        <w:t>The thermodynamic equilibrium of the reaction favors the production of bicarbonate (HCO</w:t>
      </w:r>
      <w:r w:rsidRPr="00114AD7">
        <w:rPr>
          <w:rFonts w:ascii="Times" w:hAnsi="Times"/>
          <w:vertAlign w:val="subscript"/>
        </w:rPr>
        <w:t>3</w:t>
      </w:r>
      <w:r w:rsidRPr="00114AD7">
        <w:rPr>
          <w:rFonts w:ascii="Times" w:hAnsi="Times"/>
          <w:vertAlign w:val="superscript"/>
        </w:rPr>
        <w:t>-</w:t>
      </w:r>
      <w:r w:rsidRPr="00114AD7">
        <w:rPr>
          <w:rFonts w:ascii="Times" w:hAnsi="Times"/>
        </w:rPr>
        <w:t>) and hydrogen ions (H</w:t>
      </w:r>
      <w:r w:rsidRPr="00114AD7">
        <w:rPr>
          <w:rFonts w:ascii="Times" w:hAnsi="Times"/>
          <w:vertAlign w:val="superscript"/>
        </w:rPr>
        <w:t>+</w:t>
      </w:r>
      <w:r w:rsidRPr="00114AD7">
        <w:rPr>
          <w:rFonts w:ascii="Times" w:hAnsi="Times"/>
        </w:rPr>
        <w:t>), and results in a lower saturation state (Ω) for carbonate ion (CO</w:t>
      </w:r>
      <w:r w:rsidRPr="00114AD7">
        <w:rPr>
          <w:rFonts w:ascii="Times" w:hAnsi="Times"/>
          <w:vertAlign w:val="subscript"/>
        </w:rPr>
        <w:t>3</w:t>
      </w:r>
      <w:r w:rsidRPr="00114AD7">
        <w:rPr>
          <w:rFonts w:ascii="Times" w:hAnsi="Times"/>
          <w:vertAlign w:val="superscript"/>
        </w:rPr>
        <w:t>2-</w:t>
      </w:r>
      <w:r w:rsidRPr="00114AD7">
        <w:rPr>
          <w:rFonts w:ascii="Times" w:hAnsi="Times"/>
        </w:rPr>
        <w:t xml:space="preserve">).  Since pH </w:t>
      </w:r>
      <w:r w:rsidR="005C024F" w:rsidRPr="00114AD7">
        <w:rPr>
          <w:rFonts w:ascii="Times" w:hAnsi="Times"/>
        </w:rPr>
        <w:t>is a direct measure</w:t>
      </w:r>
      <w:r w:rsidRPr="00114AD7">
        <w:rPr>
          <w:rFonts w:ascii="Times" w:hAnsi="Times"/>
        </w:rPr>
        <w:t xml:space="preserve"> of</w:t>
      </w:r>
      <w:r w:rsidR="005C024F" w:rsidRPr="00114AD7">
        <w:rPr>
          <w:rFonts w:ascii="Times" w:hAnsi="Times"/>
        </w:rPr>
        <w:t xml:space="preserve"> the</w:t>
      </w:r>
      <w:r w:rsidRPr="00114AD7">
        <w:rPr>
          <w:rFonts w:ascii="Times" w:hAnsi="Times"/>
        </w:rPr>
        <w:t xml:space="preserve"> </w:t>
      </w:r>
      <w:r w:rsidR="005C024F" w:rsidRPr="00114AD7">
        <w:rPr>
          <w:rFonts w:ascii="Times" w:hAnsi="Times"/>
        </w:rPr>
        <w:t>[</w:t>
      </w:r>
      <w:r w:rsidRPr="00114AD7">
        <w:rPr>
          <w:rFonts w:ascii="Times" w:hAnsi="Times"/>
        </w:rPr>
        <w:t>H</w:t>
      </w:r>
      <w:r w:rsidRPr="00114AD7">
        <w:rPr>
          <w:rFonts w:ascii="Times" w:hAnsi="Times"/>
          <w:vertAlign w:val="superscript"/>
        </w:rPr>
        <w:t>+</w:t>
      </w:r>
      <w:r w:rsidR="005C024F" w:rsidRPr="00114AD7">
        <w:rPr>
          <w:rFonts w:ascii="Times" w:hAnsi="Times"/>
        </w:rPr>
        <w:t>]</w:t>
      </w:r>
      <w:r w:rsidRPr="00114AD7">
        <w:rPr>
          <w:rFonts w:ascii="Times" w:hAnsi="Times"/>
        </w:rPr>
        <w:t xml:space="preserve"> in solution, this reaction is directly responsible for lower oceanic pH.  Additionally, the lower Ω creates a less favorable environment for maintaining and creating calcified structures</w:t>
      </w:r>
      <w:r w:rsidR="005C024F" w:rsidRPr="00114AD7">
        <w:rPr>
          <w:rFonts w:ascii="Times" w:hAnsi="Times"/>
        </w:rPr>
        <w:t xml:space="preserve"> (</w:t>
      </w:r>
      <w:r w:rsidR="00E45DDD" w:rsidRPr="00114AD7">
        <w:rPr>
          <w:rFonts w:ascii="Times" w:hAnsi="Times"/>
        </w:rPr>
        <w:t>i.e. Gazeau et al. 2007</w:t>
      </w:r>
      <w:r w:rsidR="005C024F" w:rsidRPr="00114AD7">
        <w:rPr>
          <w:rFonts w:ascii="Times" w:hAnsi="Times"/>
        </w:rPr>
        <w:t>)</w:t>
      </w:r>
      <w:r w:rsidRPr="00114AD7">
        <w:rPr>
          <w:rFonts w:ascii="Times" w:hAnsi="Times"/>
        </w:rPr>
        <w:t>.</w:t>
      </w:r>
    </w:p>
    <w:p w14:paraId="1B7D3128" w14:textId="59FB6EA0" w:rsidR="006315D6" w:rsidRPr="00114AD7" w:rsidRDefault="006315D6" w:rsidP="006315D6">
      <w:pPr>
        <w:spacing w:line="360" w:lineRule="auto"/>
        <w:rPr>
          <w:rFonts w:ascii="Times" w:hAnsi="Times"/>
        </w:rPr>
      </w:pPr>
      <w:r w:rsidRPr="00114AD7">
        <w:rPr>
          <w:rFonts w:ascii="Times" w:hAnsi="Times"/>
        </w:rPr>
        <w:tab/>
        <w:t xml:space="preserve">Certain ions in ocean water </w:t>
      </w:r>
      <w:r w:rsidR="00DB07FF" w:rsidRPr="00114AD7">
        <w:rPr>
          <w:rFonts w:ascii="Times" w:hAnsi="Times"/>
        </w:rPr>
        <w:t>contribute</w:t>
      </w:r>
      <w:r w:rsidRPr="00114AD7">
        <w:rPr>
          <w:rFonts w:ascii="Times" w:hAnsi="Times"/>
        </w:rPr>
        <w:t xml:space="preserve"> to total alkalinity (A</w:t>
      </w:r>
      <w:r w:rsidRPr="00114AD7">
        <w:rPr>
          <w:rFonts w:ascii="Times" w:hAnsi="Times"/>
          <w:vertAlign w:val="subscript"/>
        </w:rPr>
        <w:t>T</w:t>
      </w:r>
      <w:r w:rsidR="00DB07FF" w:rsidRPr="00114AD7">
        <w:rPr>
          <w:rFonts w:ascii="Times" w:hAnsi="Times"/>
        </w:rPr>
        <w:t>) and buffer</w:t>
      </w:r>
      <w:r w:rsidRPr="00114AD7">
        <w:rPr>
          <w:rFonts w:ascii="Times" w:hAnsi="Times"/>
        </w:rPr>
        <w:t xml:space="preserve"> changes in pH.  Total alkalinity represents a balance between H</w:t>
      </w:r>
      <w:r w:rsidRPr="00114AD7">
        <w:rPr>
          <w:rFonts w:ascii="Times" w:hAnsi="Times"/>
          <w:vertAlign w:val="superscript"/>
        </w:rPr>
        <w:t>+</w:t>
      </w:r>
      <w:r w:rsidRPr="00114AD7">
        <w:rPr>
          <w:rFonts w:ascii="Times" w:hAnsi="Times"/>
        </w:rPr>
        <w:t xml:space="preserve"> donors and acceptors in water</w:t>
      </w:r>
      <w:r w:rsidR="005C024F" w:rsidRPr="00114AD7">
        <w:rPr>
          <w:rFonts w:ascii="Times" w:hAnsi="Times"/>
        </w:rPr>
        <w:t>. T</w:t>
      </w:r>
      <w:r w:rsidRPr="00114AD7">
        <w:rPr>
          <w:rFonts w:ascii="Times" w:hAnsi="Times"/>
        </w:rPr>
        <w:t>he greater A</w:t>
      </w:r>
      <w:r w:rsidRPr="00114AD7">
        <w:rPr>
          <w:rFonts w:ascii="Times" w:hAnsi="Times"/>
          <w:vertAlign w:val="subscript"/>
        </w:rPr>
        <w:t>T</w:t>
      </w:r>
      <w:r w:rsidRPr="00114AD7">
        <w:rPr>
          <w:rFonts w:ascii="Times" w:hAnsi="Times"/>
        </w:rPr>
        <w:t xml:space="preserve"> in a body of water, the greater its ability to mitigate changes in pH.  Thus, different geographic areas with different A</w:t>
      </w:r>
      <w:r w:rsidRPr="00114AD7">
        <w:rPr>
          <w:rFonts w:ascii="Times" w:hAnsi="Times"/>
          <w:vertAlign w:val="subscript"/>
        </w:rPr>
        <w:t>T</w:t>
      </w:r>
      <w:r w:rsidRPr="00114AD7">
        <w:rPr>
          <w:rFonts w:ascii="Times" w:hAnsi="Times"/>
        </w:rPr>
        <w:t xml:space="preserve"> – which can change according to riverine inputs, biological activity, weathering of rocks, etc. – will experience different degrees of ocean acidification.  On a global scale, however, the trend is towards lower pH</w:t>
      </w:r>
      <w:r w:rsidR="005C024F" w:rsidRPr="00114AD7">
        <w:rPr>
          <w:rFonts w:ascii="Times" w:hAnsi="Times"/>
        </w:rPr>
        <w:t xml:space="preserve"> (</w:t>
      </w:r>
      <w:r w:rsidR="00E45DDD" w:rsidRPr="00114AD7">
        <w:rPr>
          <w:rFonts w:ascii="Times" w:hAnsi="Times"/>
        </w:rPr>
        <w:t>Caldeira and Wickett 2005</w:t>
      </w:r>
      <w:r w:rsidR="005C024F" w:rsidRPr="00114AD7">
        <w:rPr>
          <w:rFonts w:ascii="Times" w:hAnsi="Times"/>
        </w:rPr>
        <w:t>)</w:t>
      </w:r>
      <w:r w:rsidRPr="00114AD7">
        <w:rPr>
          <w:rFonts w:ascii="Times" w:hAnsi="Times"/>
        </w:rPr>
        <w:t>.  The equilibration of anthropogenic CO</w:t>
      </w:r>
      <w:r w:rsidRPr="00114AD7">
        <w:rPr>
          <w:rFonts w:ascii="Times" w:hAnsi="Times"/>
          <w:vertAlign w:val="subscript"/>
        </w:rPr>
        <w:t>2</w:t>
      </w:r>
      <w:r w:rsidRPr="00114AD7">
        <w:rPr>
          <w:rFonts w:ascii="Times" w:hAnsi="Times"/>
        </w:rPr>
        <w:t xml:space="preserve"> is increasing the total inorganic carbon (DIC)</w:t>
      </w:r>
      <w:r w:rsidR="00DB07FF" w:rsidRPr="00114AD7">
        <w:rPr>
          <w:rFonts w:ascii="Times" w:hAnsi="Times"/>
        </w:rPr>
        <w:t>,</w:t>
      </w:r>
      <w:r w:rsidRPr="00114AD7">
        <w:rPr>
          <w:rFonts w:ascii="Times" w:hAnsi="Times"/>
        </w:rPr>
        <w:t xml:space="preserve"> shifting the relative amounts DIC and A</w:t>
      </w:r>
      <w:r w:rsidRPr="00114AD7">
        <w:rPr>
          <w:rFonts w:ascii="Times" w:hAnsi="Times"/>
          <w:vertAlign w:val="subscript"/>
        </w:rPr>
        <w:t>T</w:t>
      </w:r>
      <w:r w:rsidRPr="00114AD7">
        <w:rPr>
          <w:rFonts w:ascii="Times" w:hAnsi="Times"/>
        </w:rPr>
        <w:t xml:space="preserve"> and contributing to CaCO</w:t>
      </w:r>
      <w:r w:rsidRPr="00114AD7">
        <w:rPr>
          <w:rFonts w:ascii="Times" w:hAnsi="Times"/>
          <w:vertAlign w:val="subscript"/>
        </w:rPr>
        <w:t>3</w:t>
      </w:r>
      <w:r w:rsidRPr="00114AD7">
        <w:rPr>
          <w:rFonts w:ascii="Times" w:hAnsi="Times"/>
        </w:rPr>
        <w:t xml:space="preserve"> undersaturated waters at shallower depths </w:t>
      </w:r>
      <w:r w:rsidRPr="00114AD7">
        <w:rPr>
          <w:rFonts w:ascii="Times" w:hAnsi="Times"/>
        </w:rPr>
        <w:fldChar w:fldCharType="begin" w:fldLock="1"/>
      </w:r>
      <w:r w:rsidRPr="00114AD7">
        <w:rPr>
          <w:rFonts w:ascii="Times" w:hAnsi="Times"/>
        </w:rPr>
        <w:instrText>ADDIN CSL_CITATION { "citationItems" : [ { "id" : "ITEM-1",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"ITEM-1", "issue" : "3", "issued" : { "date-parts" : [ [ "2012", "9", "4" ] ] }, "page" : "n/a-n/a", "title" : "Decadal changes in the aragonite and calcite saturation state of the Pacific Ocean", "type" : "article-journal", "volume" : "26" }, "uris" : [ "http://www.mendeley.com/documents/?uuid=5f9af3fa-4819-4b6f-ad16-2e10bfb13f85" ] }, { "id" : "ITEM-2", "itemData" : { "DOI" : "10.1126/science.1097329", "ISSN" : "1095-9203", "PMID" : "15256664", "abstract" : "Rising atmospheric carbon dioxide (CO2) concentrations over the past two centuries have led to greater CO2 uptake by the oceans. This acidification process has changed the saturation state of the oceans with respect to calcium carbonate (CaCO3) particles. Here we estimate the in situ CaCO3 dissolution rates for the global oceans from total alkalinity and chlorofluorocarbon data, and we also discuss the future impacts of anthropogenic CO2 on CaCO3 shell-forming species. CaCO3 dissolution rates, ranging from 0.003 to 1.2 micromoles per kilogram per year, are observed beginning near the aragonite saturation horizon. The total water column CaCO3 dissolution rate for the global oceans is approximately 0.5 +/- 0.2 petagrams of CaCO3-C per year, which is approximately 45 to 65% of the export production of CaCO3.", "author" : [ { "dropping-particle" : "", "family" : "Feely", "given" : "Richard a", "non-dropping-particle" : "", "parse-names" : false, "suffix" : "" }, { "dropping-particle" : "", "family" : "Sabine", "given" : "Christopher L", "non-dropping-particle" : "", "parse-names" : false, "suffix" : "" }, { "dropping-particle" : "", "family" : "Lee", "given" : "Kitack", "non-dropping-particle" : "", "parse-names" : false, "suffix" : "" }, { "dropping-particle" : "", "family" : "Berelson", "given" : "Will", "non-dropping-particle" : "", "parse-names" : false, "suffix" : "" }, { "dropping-particle" : "", "family" : "Kleypas", "given" : "Joanie", "non-dropping-particle" : "", "parse-names" : false, "suffix" : "" }, { "dropping-particle" : "", "family" : "Fabry", "given" : "Victoria J", "non-dropping-particle" : "", "parse-names" : false, "suffix" : "" }, { "dropping-particle" : "", "family" : "Millero", "given" : "Frank J", "non-dropping-particle" : "", "parse-names" : false, "suffix" : "" } ], "container-title" : "Science (New York, N.Y.)", "id" : "ITEM-2", "issue" : "5682", "issued" : { "date-parts" : [ [ "2004", "7", "16" ] ] }, "page" : "362-6", "title" : "Impact of anthropogenic CO2 on the CaCO3 system in the oceans.", "type" : "article-journal", "volume" : "305" }, "uris" : [ "http://www.mendeley.com/documents/?uuid=81c64e48-9558-4d17-bb7f-a1935ef40a7e" ] } ], "mendeley" : { "previouslyFormattedCitation" : "(Feely et al., 2004, 2012)"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(Feely et al., 2004, 2012)</w:t>
      </w:r>
      <w:r w:rsidRPr="00114AD7">
        <w:rPr>
          <w:rFonts w:ascii="Times" w:hAnsi="Times"/>
        </w:rPr>
        <w:fldChar w:fldCharType="end"/>
      </w:r>
      <w:r w:rsidRPr="00114AD7">
        <w:rPr>
          <w:rFonts w:ascii="Times" w:hAnsi="Times"/>
        </w:rPr>
        <w:t>.  Changes in A</w:t>
      </w:r>
      <w:r w:rsidRPr="00114AD7">
        <w:rPr>
          <w:rFonts w:ascii="Times" w:hAnsi="Times"/>
          <w:vertAlign w:val="subscript"/>
        </w:rPr>
        <w:t>T</w:t>
      </w:r>
      <w:r w:rsidRPr="00114AD7">
        <w:rPr>
          <w:rFonts w:ascii="Times" w:hAnsi="Times"/>
        </w:rPr>
        <w:t xml:space="preserve"> based on the natural global carbon cycle (i.e. input from weathering on continents and removal through burial in ocean sediment) occur on the scale of thousands of years </w:t>
      </w:r>
      <w:r w:rsidRPr="00114AD7">
        <w:rPr>
          <w:rFonts w:ascii="Times" w:hAnsi="Times"/>
        </w:rPr>
        <w:fldChar w:fldCharType="begin" w:fldLock="1"/>
      </w:r>
      <w:r w:rsidRPr="00114AD7">
        <w:rPr>
          <w:rFonts w:ascii="Times" w:hAnsi="Times"/>
        </w:rPr>
        <w:instrText>ADDIN CSL_CITATION { "citationItems" : [ { "id" : "ITEM-1", "itemData" : { "DOI" : "10.1146/annurev-earth-042711-105521", "ISSN" : "0084-6597", "author" : [ { "dropping-particle" : "", "family" : "Zeebe", "given" : "Richard E.", "non-dropping-particle" : "", "parse-names" : false, "suffix" : "" } ], "container-title" : "Annual Review of Earth and Planetary Sciences", "id" : "ITEM-1", "issue" : "1", "issued" : { "date-parts" : [ [ "2012", "5", "30" ] ] }, "page" : "141-165", "title" : "History of Seawater Carbonate Chemistry, Atmospheric CO 2 , and Ocean Acidification", "type" : "article-journal", "volume" : "40" }, "uris" : [ "http://www.mendeley.com/documents/?uuid=28ebc31b-4cfc-4437-9e47-309672ede975" ] } ], "mendeley" : { "previouslyFormattedCitation" : "(Zeebe, 2012)"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(Zeebe, 2012)</w:t>
      </w:r>
      <w:r w:rsidRPr="00114AD7">
        <w:rPr>
          <w:rFonts w:ascii="Times" w:hAnsi="Times"/>
        </w:rPr>
        <w:fldChar w:fldCharType="end"/>
      </w:r>
      <w:r w:rsidRPr="00114AD7">
        <w:rPr>
          <w:rFonts w:ascii="Times" w:hAnsi="Times"/>
        </w:rPr>
        <w:t xml:space="preserve">, much longer than the current </w:t>
      </w:r>
      <w:r w:rsidR="005C024F" w:rsidRPr="00114AD7">
        <w:rPr>
          <w:rFonts w:ascii="Times" w:hAnsi="Times"/>
        </w:rPr>
        <w:t xml:space="preserve">changes in </w:t>
      </w:r>
      <w:r w:rsidRPr="00114AD7">
        <w:rPr>
          <w:rFonts w:ascii="Times" w:hAnsi="Times"/>
        </w:rPr>
        <w:t xml:space="preserve">carbonate chemistry.  Additionally, elevated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can </w:t>
      </w:r>
      <w:r w:rsidR="005C024F" w:rsidRPr="00114AD7">
        <w:rPr>
          <w:rFonts w:ascii="Times" w:hAnsi="Times"/>
        </w:rPr>
        <w:t>alter</w:t>
      </w:r>
      <w:r w:rsidRPr="00114AD7">
        <w:rPr>
          <w:rFonts w:ascii="Times" w:hAnsi="Times"/>
        </w:rPr>
        <w:t xml:space="preserve"> the buffering capacities of estuarine areas </w:t>
      </w:r>
      <w:r w:rsidRPr="00114AD7">
        <w:rPr>
          <w:rFonts w:ascii="Times" w:hAnsi="Times"/>
        </w:rPr>
        <w:fldChar w:fldCharType="begin" w:fldLock="1"/>
      </w:r>
      <w:r w:rsidRPr="00114AD7">
        <w:rPr>
          <w:rFonts w:ascii="Times" w:hAnsi="Times"/>
        </w:rPr>
        <w:instrText>ADDIN CSL_CITATION { "citationItems" : [ { "id" : "ITEM-1", "itemData" : { "DOI" : "10.1002/grl.51000", "ISSN" : "00948276", "author" : [ { "dropping-particle" : "", "family" : "Hu", "given" : "Xinping", "non-dropping-particle" : "", "parse-names" : false, "suffix" : "" }, { "dropping-particle" : "", "family" : "Cai", "given" : "Wei-Jun", "non-dropping-particle" : "", "parse-names" : false, "suffix" : "" } ], "container-title" : "Geophysical Research Letters", "id" : "ITEM-1", "issue" : "19", "issued" : { "date-parts" : [ [ "2013", "10", "16" ] ] }, "page" : "5176-5181", "title" : "Estuarine acidification and minimum buffer zone-A conceptual study", "type" : "article-journal", "volume" : "40" }, "uris" : [ "http://www.mendeley.com/documents/?uuid=cbd0b972-b8ec-4d8d-9224-1ee1a6a87c6f" ] } ], "mendeley" : { "manualFormatting" : "(Hu and Cai, 2013)", "previouslyFormattedCitation" : "(Hu &amp; Cai, 2013)"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(Hu and Cai, 2013)</w:t>
      </w:r>
      <w:r w:rsidRPr="00114AD7">
        <w:rPr>
          <w:rFonts w:ascii="Times" w:hAnsi="Times"/>
        </w:rPr>
        <w:fldChar w:fldCharType="end"/>
      </w:r>
      <w:r w:rsidRPr="00114AD7">
        <w:rPr>
          <w:rFonts w:ascii="Times" w:hAnsi="Times"/>
        </w:rPr>
        <w:t>.  Due to the current accelerated timescale of CO</w:t>
      </w:r>
      <w:r w:rsidRPr="00114AD7">
        <w:rPr>
          <w:rFonts w:ascii="Times" w:hAnsi="Times"/>
          <w:vertAlign w:val="subscript"/>
        </w:rPr>
        <w:t>2</w:t>
      </w:r>
      <w:r w:rsidRPr="00114AD7">
        <w:rPr>
          <w:rFonts w:ascii="Times" w:hAnsi="Times"/>
        </w:rPr>
        <w:t xml:space="preserve"> input into the oceans</w:t>
      </w:r>
      <w:r w:rsidR="005C024F" w:rsidRPr="00114AD7">
        <w:rPr>
          <w:rFonts w:ascii="Times" w:hAnsi="Times"/>
        </w:rPr>
        <w:t xml:space="preserve"> (</w:t>
      </w:r>
      <w:r w:rsidR="0099132B" w:rsidRPr="00114AD7">
        <w:rPr>
          <w:rFonts w:ascii="Times" w:hAnsi="Times"/>
        </w:rPr>
        <w:t>IPCC 2007</w:t>
      </w:r>
      <w:r w:rsidR="005C024F" w:rsidRPr="00114AD7">
        <w:rPr>
          <w:rFonts w:ascii="Times" w:hAnsi="Times"/>
        </w:rPr>
        <w:t>)</w:t>
      </w:r>
      <w:r w:rsidRPr="00114AD7">
        <w:rPr>
          <w:rFonts w:ascii="Times" w:hAnsi="Times"/>
        </w:rPr>
        <w:t>, pH changes will continue largely unchecked by natural processes that have moderated fluctuations in the past</w:t>
      </w:r>
      <w:r w:rsidR="005C024F" w:rsidRPr="00114AD7">
        <w:rPr>
          <w:rFonts w:ascii="Times" w:hAnsi="Times"/>
        </w:rPr>
        <w:t xml:space="preserve"> (</w:t>
      </w:r>
      <w:r w:rsidR="0099132B" w:rsidRPr="00114AD7">
        <w:rPr>
          <w:rFonts w:ascii="Times" w:hAnsi="Times"/>
        </w:rPr>
        <w:t>Zeebe 2012</w:t>
      </w:r>
      <w:r w:rsidR="005C024F" w:rsidRPr="00114AD7">
        <w:rPr>
          <w:rFonts w:ascii="Times" w:hAnsi="Times"/>
        </w:rPr>
        <w:t>)</w:t>
      </w:r>
      <w:r w:rsidRPr="00114AD7">
        <w:rPr>
          <w:rFonts w:ascii="Times" w:hAnsi="Times"/>
        </w:rPr>
        <w:t>.</w:t>
      </w:r>
    </w:p>
    <w:p w14:paraId="1FB8D513" w14:textId="77777777" w:rsidR="00C02D9B" w:rsidRDefault="00C02D9B" w:rsidP="00C02D9B">
      <w:pPr>
        <w:pStyle w:val="Heading3"/>
      </w:pPr>
      <w:bookmarkStart w:id="10" w:name="_Toc257278764"/>
      <w:r>
        <w:t>Nearshore environmental processes</w:t>
      </w:r>
      <w:bookmarkEnd w:id="10"/>
    </w:p>
    <w:p w14:paraId="20DA15AA" w14:textId="77777777" w:rsidR="00D92FB6" w:rsidRPr="00D92FB6" w:rsidRDefault="00D92FB6" w:rsidP="00D92FB6"/>
    <w:p w14:paraId="5955135A" w14:textId="59115A81" w:rsidR="006315D6" w:rsidRPr="00114AD7" w:rsidRDefault="006315D6" w:rsidP="006315D6">
      <w:pPr>
        <w:spacing w:line="360" w:lineRule="auto"/>
        <w:ind w:firstLine="720"/>
        <w:rPr>
          <w:rFonts w:ascii="Times" w:hAnsi="Times"/>
        </w:rPr>
      </w:pPr>
      <w:r w:rsidRPr="00114AD7">
        <w:rPr>
          <w:rFonts w:ascii="Times" w:hAnsi="Times"/>
        </w:rPr>
        <w:t xml:space="preserve">Oceanic pH is affected by many other processes in addition to atmospheric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Especially in the relatively shallow and productive nearshore environment, many physical and biological processes contribute to fluctuations in pH on a variety of timescales (i.e. </w:t>
      </w:r>
      <w:r w:rsidRPr="00114AD7">
        <w:rPr>
          <w:rFonts w:ascii="Times" w:hAnsi="Times"/>
        </w:rPr>
        <w:fldChar w:fldCharType="begin" w:fldLock="1"/>
      </w:r>
      <w:r w:rsidRPr="00114AD7">
        <w:rPr>
          <w:rFonts w:ascii="Times" w:hAnsi="Times"/>
        </w:rPr>
        <w:instrText>ADDIN CSL_CITATION { "citationItems" : [ { "id" : "ITEM-1", "itemData" : { "DOI" : "10.1016/j.csr.2012.06.009", "ISSN" : "02784343", "author" : [ { "dropping-particle" : "", "family" : "Booth", "given" : "J. Ashley T.", "non-dropping-particle" : "", "parse-names" : false, "suffix" : "" }, { "dropping-particle" : "", "family" : "McPhee-Shaw", "given" : "Erika E.", "non-dropping-particle" : "", "parse-names" : false, "suffix" : "" }, { "dropping-particle" : "", "family" : "Chua", "given" : "Paul", "non-dropping-particle" : "", "parse-names" : false, "suffix" : "" }, { "dropping-particle" : "", "family" : "Kingsley", "given" : "Eric", "non-dropping-particle" : "", "parse-names" : false, "suffix" : "" }, { "dropping-particle" : "", "family" : "Denny", "given" : "Mark", "non-dropping-particle" : "", "parse-names" : false, "suffix" : "" }, { "dropping-particle" : "", "family" : "Phillips", "given" : "Roger", "non-dropping-particle" : "", "parse-names" : false, "suffix" : "" }, { "dropping-particle" : "", "family" : "Bograd", "given" : "Steven J.", "non-dropping-particle" : "", "parse-names" : false, "suffix" : "" }, { "dropping-particle" : "", "family" : "Zeidberg", "given" : "Louis D.", "non-dropping-particle" : "", "parse-names" : false, "suffix" : "" }, { "dropping-particle" : "", "family" : "Gilly", "given" : "William F.", "non-dropping-particle" : "", "parse-names" : false, "suffix" : "" } ], "container-title" : "Continental Shelf Research", "id" : "ITEM-1", "issued" : { "date-parts" : [ [ "2012", "8" ] ] }, "page" : "108-115", "publisher" : "Elsevier", "title" : "Natural intrusions of hypoxic, low pH water into nearshore marine environments on the California coast", "type" : "article-journal", "volume" : "45" }, "uris" : [ "http://www.mendeley.com/documents/?uuid=6a41fcac-3df8-42ec-89ed-9ad1c785a1ef" ] } ], "mendeley" : { "manualFormatting" : "Booth et al., 2012)", "previouslyFormattedCitation" : "(Booth et al., 2012)"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Booth et al., 2012)</w:t>
      </w:r>
      <w:r w:rsidRPr="00114AD7">
        <w:rPr>
          <w:rFonts w:ascii="Times" w:hAnsi="Times"/>
        </w:rPr>
        <w:fldChar w:fldCharType="end"/>
      </w:r>
      <w:r w:rsidRPr="00114AD7">
        <w:rPr>
          <w:rFonts w:ascii="Times" w:hAnsi="Times"/>
        </w:rPr>
        <w:t>.  In upwelling zones along the coast, cold, CO</w:t>
      </w:r>
      <w:r w:rsidRPr="00114AD7">
        <w:rPr>
          <w:rFonts w:ascii="Times" w:hAnsi="Times"/>
          <w:vertAlign w:val="subscript"/>
        </w:rPr>
        <w:t>2</w:t>
      </w:r>
      <w:r w:rsidRPr="00114AD7">
        <w:rPr>
          <w:rFonts w:ascii="Times" w:hAnsi="Times"/>
        </w:rPr>
        <w:t>-rich water can be pulled into productive areas as surface water is displaced.  Upwelling represents a relatively transient yet strong signal in terms of pH fluctuations.  In the California Current System, upwelling events bring water with aragonite saturation state of less than 2 into the nearshore environment for most of the spring, summer, and fall (</w:t>
      </w:r>
      <w:r w:rsidR="00463F94" w:rsidRPr="00114AD7">
        <w:rPr>
          <w:rFonts w:ascii="Times" w:hAnsi="Times"/>
        </w:rPr>
        <w:t>Hauri</w:t>
      </w:r>
      <w:r w:rsidRPr="00114AD7">
        <w:rPr>
          <w:rFonts w:ascii="Times" w:hAnsi="Times"/>
        </w:rPr>
        <w:t xml:space="preserve"> et al. 2009).  Greenhouse gases cause land masses to warm more</w:t>
      </w:r>
      <w:r w:rsidR="005C024F" w:rsidRPr="00114AD7">
        <w:rPr>
          <w:rFonts w:ascii="Times" w:hAnsi="Times"/>
        </w:rPr>
        <w:t xml:space="preserve"> quickly</w:t>
      </w:r>
      <w:r w:rsidRPr="00114AD7">
        <w:rPr>
          <w:rFonts w:ascii="Times" w:hAnsi="Times"/>
        </w:rPr>
        <w:t xml:space="preserve"> than the ocean, creating a low pressure cell over coastal areas.  These low pressure cells increase wind strength and upwelling intensity, thereby augmenting a global trend towards winds favoring upwelling conditions </w:t>
      </w:r>
      <w:r w:rsidRPr="00114AD7">
        <w:rPr>
          <w:rFonts w:ascii="Times" w:hAnsi="Times"/>
        </w:rPr>
        <w:fldChar w:fldCharType="begin" w:fldLock="1"/>
      </w:r>
      <w:r w:rsidRPr="00114AD7">
        <w:rPr>
          <w:rFonts w:ascii="Times" w:hAnsi="Times"/>
        </w:rPr>
        <w:instrText>ADDIN CSL_CITATION { "citationItems" : [ { "id" : "ITEM-1", "itemData" : { "DOI" : "10.1111/j.1365-2486.2009.02094.x", "ISSN" : "13541013", "author" : [ { "dropping-particle" : "", "family" : "Bakun", "given" : "Andrew", "non-dropping-particle" : "", "parse-names" : false, "suffix" : "" }, { "dropping-particle" : "", "family" : "Field", "given" : "David B.", "non-dropping-particle" : "", "parse-names" : false, "suffix" : "" }, { "dropping-particle" : "", "family" : "Redondo-Rodriguez", "given" : "Ana", "non-dropping-particle" : "", "parse-names" : false, "suffix" : "" }, { "dropping-particle" : "", "family" : "Weeks", "given" : "Scarla J.", "non-dropping-particle" : "", "parse-names" : false, "suffix" : "" } ], "container-title" : "Global Change Biology", "id" : "ITEM-1", "issue" : "4", "issued" : { "date-parts" : [ [ "2010", "4" ] ] }, "page" : "1213-1228", "title" : "Greenhouse gas, upwelling-favorable winds, and the future of coastal ocean upwelling ecosystems", "type" : "article-journal", "volume" : "16" }, "uris" : [ "http://www.mendeley.com/documents/?uuid=288ceedc-7caf-4133-a223-4081bf4e6fc5" ] } ], "mendeley" : { "manualFormatting" : "(Bakun et al., 2010)", "previouslyFormattedCitation" : "(Bakun, Field, Redondo-Rodriguez, &amp; Weeks, 2010)"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(Bakun et al., 2010)</w:t>
      </w:r>
      <w:r w:rsidRPr="00114AD7">
        <w:rPr>
          <w:rFonts w:ascii="Times" w:hAnsi="Times"/>
        </w:rPr>
        <w:fldChar w:fldCharType="end"/>
      </w:r>
      <w:r w:rsidRPr="00114AD7">
        <w:rPr>
          <w:rFonts w:ascii="Times" w:hAnsi="Times"/>
        </w:rPr>
        <w:t xml:space="preserve">.  </w:t>
      </w:r>
      <w:r w:rsidR="005C024F" w:rsidRPr="00114AD7">
        <w:rPr>
          <w:rFonts w:ascii="Times" w:hAnsi="Times"/>
        </w:rPr>
        <w:t>Shellfish</w:t>
      </w:r>
      <w:r w:rsidRPr="00114AD7">
        <w:rPr>
          <w:rFonts w:ascii="Times" w:hAnsi="Times"/>
        </w:rPr>
        <w:t xml:space="preserve"> hatcheries on the Pacific coast of the United States have linked larval mortalities and decreased production with upwelling events </w:t>
      </w:r>
      <w:r w:rsidRPr="00114AD7">
        <w:rPr>
          <w:rFonts w:ascii="Times" w:hAnsi="Times"/>
        </w:rPr>
        <w:fldChar w:fldCharType="begin" w:fldLock="1"/>
      </w:r>
      <w:r w:rsidRPr="00114AD7">
        <w:rPr>
          <w:rFonts w:ascii="Times" w:hAnsi="Times"/>
        </w:rPr>
        <w:instrText>ADDIN CSL_CITATION { "citationItems" : [ { "id" : "ITEM-1",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"ITEM-1",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"mendeley" : { "manualFormatting" : "(Barton et al., 2012)", "previouslyFormattedCitation" : "(Barton, Hales, Waldbusser, Langdon, &amp; Feely, 2012)"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(Barton et al., 2012)</w:t>
      </w:r>
      <w:r w:rsidRPr="00114AD7">
        <w:rPr>
          <w:rFonts w:ascii="Times" w:hAnsi="Times"/>
        </w:rPr>
        <w:fldChar w:fldCharType="end"/>
      </w:r>
      <w:r w:rsidRPr="00114AD7">
        <w:rPr>
          <w:rFonts w:ascii="Times" w:hAnsi="Times"/>
        </w:rPr>
        <w:t xml:space="preserve"> and have consequently changed their hatchery practices to avoid upwelled water.</w:t>
      </w:r>
    </w:p>
    <w:p w14:paraId="31BEFE34" w14:textId="2ED53853" w:rsidR="006315D6" w:rsidRPr="00114AD7" w:rsidRDefault="006315D6" w:rsidP="006315D6">
      <w:pPr>
        <w:spacing w:line="360" w:lineRule="auto"/>
        <w:rPr>
          <w:rFonts w:ascii="Times" w:hAnsi="Times"/>
        </w:rPr>
      </w:pPr>
      <w:r w:rsidRPr="00114AD7">
        <w:rPr>
          <w:rFonts w:ascii="Times" w:hAnsi="Times"/>
        </w:rPr>
        <w:tab/>
        <w:t>The relatively high productivity of nearshore environments can lead to a strong CO</w:t>
      </w:r>
      <w:r w:rsidRPr="00114AD7">
        <w:rPr>
          <w:rFonts w:ascii="Times" w:hAnsi="Times"/>
          <w:vertAlign w:val="subscript"/>
        </w:rPr>
        <w:t>2</w:t>
      </w:r>
      <w:r w:rsidRPr="00114AD7">
        <w:rPr>
          <w:rFonts w:ascii="Times" w:hAnsi="Times"/>
        </w:rPr>
        <w:t xml:space="preserve"> signal from respiration and photosynthesis occurring on a more short-term cycle (daily to seasonal).  Photosynthesis and calcification decrease the amounts of CO</w:t>
      </w:r>
      <w:r w:rsidRPr="00114AD7">
        <w:rPr>
          <w:rFonts w:ascii="Times" w:hAnsi="Times"/>
          <w:vertAlign w:val="subscript"/>
        </w:rPr>
        <w:t>2</w:t>
      </w:r>
      <w:r w:rsidRPr="00114AD7">
        <w:rPr>
          <w:rFonts w:ascii="Times" w:hAnsi="Times"/>
        </w:rPr>
        <w:t xml:space="preserve"> in seawater while respiration and dissolution of calcified structures increase CO</w:t>
      </w:r>
      <w:r w:rsidRPr="00114AD7">
        <w:rPr>
          <w:rFonts w:ascii="Times" w:hAnsi="Times"/>
          <w:vertAlign w:val="subscript"/>
        </w:rPr>
        <w:t>2</w:t>
      </w:r>
      <w:r w:rsidRPr="00114AD7">
        <w:rPr>
          <w:rFonts w:ascii="Times" w:hAnsi="Times"/>
        </w:rPr>
        <w:t xml:space="preserve"> </w:t>
      </w:r>
      <w:r w:rsidRPr="00114AD7">
        <w:rPr>
          <w:rFonts w:ascii="Times" w:hAnsi="Times"/>
        </w:rPr>
        <w:fldChar w:fldCharType="begin" w:fldLock="1"/>
      </w:r>
      <w:r w:rsidRPr="00114AD7">
        <w:rPr>
          <w:rFonts w:ascii="Times" w:hAnsi="Times"/>
        </w:rPr>
        <w:instrText>ADDIN CSL_CITATION { "citationItems" : [ { "id" : "ITEM-1", "itemData" : { "author" : [ { "dropping-particle" : "V", "family" : "Smith", "given" : "Author S", "non-dropping-particle" : "", "parse-names" : false, "suffix" : "" }, { "dropping-particle" : "", "family" : "Key", "given" : "G S", "non-dropping-particle" : "", "parse-names" : false, "suffix" : "" } ], "id" : "ITEM-1", "issue" : "3", "issued" : { "date-parts" : [ [ "1975" ] ] }, "page" : "493-495", "title" : "Carbon Dioxide and Metabolism in Marine Environments", "type" : "article-journal", "volume" : "20" }, "uris" : [ "http://www.mendeley.com/documents/?uuid=d8027b9e-3642-4b78-bb3a-b6b0a86a70e1" ] } ], "mendeley" : { "manualFormatting" : "(Smith and Key, 1975)", "previouslyFormattedCitation" : "(Smith &amp; Key, 1975)"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(Smith and Key, 1975)</w:t>
      </w:r>
      <w:r w:rsidRPr="00114AD7">
        <w:rPr>
          <w:rFonts w:ascii="Times" w:hAnsi="Times"/>
        </w:rPr>
        <w:fldChar w:fldCharType="end"/>
      </w:r>
      <w:r w:rsidRPr="00114AD7">
        <w:rPr>
          <w:rFonts w:ascii="Times" w:hAnsi="Times"/>
        </w:rPr>
        <w:t xml:space="preserve">.   Since upwelled waters typically contain high amounts of nutrients they tend to stimulate </w:t>
      </w:r>
      <w:r w:rsidR="005C024F" w:rsidRPr="00114AD7">
        <w:rPr>
          <w:rFonts w:ascii="Times" w:hAnsi="Times"/>
        </w:rPr>
        <w:t xml:space="preserve">primary </w:t>
      </w:r>
      <w:r w:rsidRPr="00114AD7">
        <w:rPr>
          <w:rFonts w:ascii="Times" w:hAnsi="Times"/>
        </w:rPr>
        <w:t>production in the nearshore environment.  During upwelling, changes in nearshore DIC occur mostly from organic matter production and respiration and CaCO</w:t>
      </w:r>
      <w:r w:rsidRPr="00114AD7">
        <w:rPr>
          <w:rFonts w:ascii="Times" w:hAnsi="Times"/>
          <w:vertAlign w:val="subscript"/>
        </w:rPr>
        <w:t>3</w:t>
      </w:r>
      <w:r w:rsidRPr="00114AD7">
        <w:rPr>
          <w:rFonts w:ascii="Times" w:hAnsi="Times"/>
        </w:rPr>
        <w:t xml:space="preserve"> dissolution </w:t>
      </w:r>
      <w:r w:rsidRPr="00114AD7">
        <w:rPr>
          <w:rFonts w:ascii="Times" w:hAnsi="Times"/>
        </w:rPr>
        <w:fldChar w:fldCharType="begin" w:fldLock="1"/>
      </w:r>
      <w:r w:rsidRPr="00114AD7">
        <w:rPr>
          <w:rFonts w:ascii="Times" w:hAnsi="Times"/>
        </w:rPr>
        <w:instrText>ADDIN CSL_CITATION { "citationItems" : [ { "id" : "ITEM-1", "itemData" : { "DOI" : "10.1016/j.csr.2011.04.006", "ISSN" : "02784343", "author" : [ { "dropping-particle" : "", "family" : "Fassbender", "given" : "Andrea J.", "non-dropping-particle" : "", "parse-names" : false, "suffix" : "" }, { "dropping-particle" : "", "family" : "Sabine", "given" : "Christopher L.", "non-dropping-particle" : "", "parse-names" : false, "suffix" : "" }, { "dropping-particle" : "", "family" : "Feely", "given" : "Richard a.", "non-dropping-particle" : "", "parse-names" : false, "suffix" : "" }, { "dropping-particle" : "", "family" : "Langdon", "given" : "Chris", "non-dropping-particle" : "", "parse-names" : false, "suffix" : "" }, { "dropping-particle" : "", "family" : "Mordy", "given" : "Calvin W.", "non-dropping-particle" : "", "parse-names" : false, "suffix" : "" } ], "container-title" : "Continental Shelf Research", "id" : "ITEM-1", "issue" : "11", "issued" : { "date-parts" : [ [ "2011", "8" ] ] }, "page" : "1180-1192", "publisher" : "Elsevier", "title" : "Inorganic carbon dynamics during northern California coastal upwelling", "type" : "article-journal", "volume" : "31" }, "uris" : [ "http://www.mendeley.com/documents/?uuid=141366a8-af98-4eaf-a7e5-33004d7cfc29" ] } ], "mendeley" : { "manualFormatting" : "(Fassbender et al., 2011)", "previouslyFormattedCitation" : "(Fassbender, Sabine, Feely, Langdon, &amp; Mordy, 2011)"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(Fassbender et al., 2011)</w:t>
      </w:r>
      <w:r w:rsidRPr="00114AD7">
        <w:rPr>
          <w:rFonts w:ascii="Times" w:hAnsi="Times"/>
        </w:rPr>
        <w:fldChar w:fldCharType="end"/>
      </w:r>
      <w:r w:rsidRPr="00114AD7">
        <w:rPr>
          <w:rFonts w:ascii="Times" w:hAnsi="Times"/>
        </w:rPr>
        <w:t xml:space="preserve">.  As anthropogenic carbon inputs change the baseline of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in seawater, these natural processes could contribute to making the overall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even lower than predicted</w:t>
      </w:r>
      <w:r w:rsidR="00EF08DD" w:rsidRPr="00114AD7">
        <w:rPr>
          <w:rFonts w:ascii="Times" w:hAnsi="Times"/>
        </w:rPr>
        <w:t xml:space="preserve"> values for the open ocean</w:t>
      </w:r>
      <w:r w:rsidR="005C024F" w:rsidRPr="00114AD7">
        <w:rPr>
          <w:rFonts w:ascii="Times" w:hAnsi="Times"/>
        </w:rPr>
        <w:t xml:space="preserve"> (</w:t>
      </w:r>
      <w:r w:rsidR="00EF08DD" w:rsidRPr="00114AD7">
        <w:rPr>
          <w:rFonts w:ascii="Times" w:hAnsi="Times"/>
        </w:rPr>
        <w:t>Feely et al. 2010</w:t>
      </w:r>
      <w:r w:rsidR="005C024F" w:rsidRPr="00114AD7">
        <w:rPr>
          <w:rFonts w:ascii="Times" w:hAnsi="Times"/>
        </w:rPr>
        <w:t>)</w:t>
      </w:r>
      <w:r w:rsidRPr="00114AD7">
        <w:rPr>
          <w:rFonts w:ascii="Times" w:hAnsi="Times"/>
        </w:rPr>
        <w:t>.</w:t>
      </w:r>
      <w:r w:rsidR="00EF08DD" w:rsidRPr="00114AD7">
        <w:rPr>
          <w:rFonts w:ascii="Times" w:hAnsi="Times"/>
        </w:rPr>
        <w:t xml:space="preserve"> </w:t>
      </w:r>
    </w:p>
    <w:p w14:paraId="10D2FF5D" w14:textId="77777777" w:rsidR="00DF70F0" w:rsidRDefault="00C02D9B" w:rsidP="00C02D9B">
      <w:pPr>
        <w:pStyle w:val="Heading3"/>
      </w:pPr>
      <w:bookmarkStart w:id="11" w:name="_Toc257278765"/>
      <w:r>
        <w:t>Ocean acidification in Puget Sound</w:t>
      </w:r>
      <w:bookmarkEnd w:id="11"/>
    </w:p>
    <w:p w14:paraId="697DE1DD" w14:textId="77777777" w:rsidR="00D92FB6" w:rsidRPr="00D92FB6" w:rsidRDefault="00D92FB6" w:rsidP="00D92FB6"/>
    <w:p w14:paraId="54C83020" w14:textId="18A77B9F" w:rsidR="006315D6" w:rsidRPr="00114AD7" w:rsidRDefault="006315D6" w:rsidP="006315D6">
      <w:pPr>
        <w:spacing w:line="360" w:lineRule="auto"/>
        <w:ind w:firstLine="720"/>
        <w:rPr>
          <w:rFonts w:ascii="Times" w:hAnsi="Times"/>
        </w:rPr>
      </w:pPr>
      <w:r w:rsidRPr="00114AD7">
        <w:rPr>
          <w:rFonts w:ascii="Times" w:hAnsi="Times"/>
        </w:rPr>
        <w:t xml:space="preserve">Puget Sound, WA and other similar bodies of water have hydrographies that contribute to variability in pH.  Puget Sound is a semi-enclosed, urban estuary bordered by approximately 4.1 million people (U.S. Census Bureau, 2012 estimates).  Puget Sound is subject to low transport/high water residence times in some basins </w:t>
      </w:r>
      <w:r w:rsidRPr="00114AD7">
        <w:rPr>
          <w:rFonts w:ascii="Times" w:hAnsi="Times"/>
        </w:rPr>
        <w:fldChar w:fldCharType="begin" w:fldLock="1"/>
      </w:r>
      <w:r w:rsidRPr="00114AD7">
        <w:rPr>
          <w:rFonts w:ascii="Times" w:hAnsi="Times"/>
        </w:rPr>
        <w:instrText>ADDIN CSL_CITATION { "citationItems" : [ { "id" : "ITEM-1", "itemData" : { "DOI" : "10.3137/ao.440103", "ISSN" : "0705-5900", "author" : [ { "dropping-particle" : "", "family" : "Babson", "given" : "a. L.", "non-dropping-particle" : "", "parse-names" : false, "suffix" : "" }, { "dropping-particle" : "", "family" : "Kawase", "given" : "M.", "non-dropping-particle" : "", "parse-names" : false, "suffix" : "" }, { "dropping-particle" : "", "family" : "MacCready", "given" : "P.", "non-dropping-particle" : "", "parse-names" : false, "suffix" : "" } ], "container-title" : "Atmosphere-Ocean", "id" : "ITEM-1", "issue" : "1", "issued" : { "date-parts" : [ [ "2006", "3" ] ] }, "page" : "29-45", "title" : "Seasonal and interannual variability in the circulation of Puget Sound, Washington: A box model study", "type" : "article-journal", "volume" : "44" }, "uris" : [ "http://www.mendeley.com/documents/?uuid=e4ceec7c-d0a0-457b-8a37-44138a05284f" ] } ], "mendeley" : { "manualFormatting" : "(Babson et al., 2006)", "previouslyFormattedCitation" : "(Babson, Kawase, &amp; MacCready, 2006)"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(Babson et al., 2006)</w:t>
      </w:r>
      <w:r w:rsidRPr="00114AD7">
        <w:rPr>
          <w:rFonts w:ascii="Times" w:hAnsi="Times"/>
        </w:rPr>
        <w:fldChar w:fldCharType="end"/>
      </w:r>
      <w:r w:rsidRPr="00114AD7">
        <w:rPr>
          <w:rFonts w:ascii="Times" w:hAnsi="Times"/>
        </w:rPr>
        <w:t xml:space="preserve">, which can exacerbate low pH and low oxygen events.  This pattern of hydrography results in relatively shallow low pH events in the summer months, especially in southern Hood Canal where the longest residence times are found </w:t>
      </w:r>
      <w:r w:rsidRPr="00114AD7">
        <w:rPr>
          <w:rFonts w:ascii="Times" w:hAnsi="Times"/>
        </w:rPr>
        <w:fldChar w:fldCharType="begin" w:fldLock="1"/>
      </w:r>
      <w:r w:rsidRPr="00114AD7">
        <w:rPr>
          <w:rFonts w:ascii="Times" w:hAnsi="Times"/>
        </w:rPr>
        <w:instrText>ADDIN CSL_CITATION { "citationItems" : [ { "id" : "ITEM-1",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"ITEM-1",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"mendeley" : { "previouslyFormattedCitation" : "(Feely et al., 2010)"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(Feely et al., 2010)</w:t>
      </w:r>
      <w:r w:rsidRPr="00114AD7">
        <w:rPr>
          <w:rFonts w:ascii="Times" w:hAnsi="Times"/>
        </w:rPr>
        <w:fldChar w:fldCharType="end"/>
      </w:r>
      <w:r w:rsidRPr="00114AD7">
        <w:rPr>
          <w:rFonts w:ascii="Times" w:hAnsi="Times"/>
        </w:rPr>
        <w:t xml:space="preserve">.  </w:t>
      </w:r>
      <w:r w:rsidR="005C024F" w:rsidRPr="00114AD7">
        <w:rPr>
          <w:rFonts w:ascii="Times" w:hAnsi="Times"/>
        </w:rPr>
        <w:t>Even though these pH fluctuations are caused by natural physical and biological processes</w:t>
      </w:r>
      <w:r w:rsidRPr="00114AD7">
        <w:rPr>
          <w:rFonts w:ascii="Times" w:hAnsi="Times"/>
        </w:rPr>
        <w:t xml:space="preserve">, elevated atmospheric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has also contributed to an overall decrease in pH in </w:t>
      </w:r>
      <w:r w:rsidR="005C024F" w:rsidRPr="00114AD7">
        <w:rPr>
          <w:rFonts w:ascii="Times" w:hAnsi="Times"/>
        </w:rPr>
        <w:t>Puget</w:t>
      </w:r>
      <w:r w:rsidRPr="00114AD7">
        <w:rPr>
          <w:rFonts w:ascii="Times" w:hAnsi="Times"/>
        </w:rPr>
        <w:t xml:space="preserve"> Sound </w:t>
      </w:r>
      <w:r w:rsidRPr="00114AD7">
        <w:rPr>
          <w:rFonts w:ascii="Times" w:hAnsi="Times"/>
        </w:rPr>
        <w:fldChar w:fldCharType="begin" w:fldLock="1"/>
      </w:r>
      <w:r w:rsidRPr="00114AD7">
        <w:rPr>
          <w:rFonts w:ascii="Times" w:hAnsi="Times"/>
        </w:rPr>
        <w:instrText>ADDIN CSL_CITATION { "citationItems" : [ { "id" : "ITEM-1",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"ITEM-1",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"mendeley" : { "previouslyFormattedCitation" : "(Feely et al., 2010)"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(Feely et al., 2010)</w:t>
      </w:r>
      <w:r w:rsidRPr="00114AD7">
        <w:rPr>
          <w:rFonts w:ascii="Times" w:hAnsi="Times"/>
        </w:rPr>
        <w:fldChar w:fldCharType="end"/>
      </w:r>
      <w:r w:rsidRPr="00114AD7">
        <w:rPr>
          <w:rFonts w:ascii="Times" w:hAnsi="Times"/>
        </w:rPr>
        <w:t>.</w:t>
      </w:r>
    </w:p>
    <w:p w14:paraId="099B54E0" w14:textId="77777777" w:rsidR="00C02D9B" w:rsidRDefault="00C02D9B" w:rsidP="00C02D9B">
      <w:pPr>
        <w:pStyle w:val="Heading2"/>
      </w:pPr>
      <w:bookmarkStart w:id="12" w:name="_Toc257278766"/>
      <w:r>
        <w:t>Implications for bivalves</w:t>
      </w:r>
      <w:bookmarkEnd w:id="12"/>
    </w:p>
    <w:p w14:paraId="5968B44F" w14:textId="77777777" w:rsidR="00D92FB6" w:rsidRPr="00D92FB6" w:rsidRDefault="00D92FB6" w:rsidP="00D92FB6"/>
    <w:p w14:paraId="0819B72D" w14:textId="6C3E4B5D" w:rsidR="006315D6" w:rsidRPr="00114AD7" w:rsidRDefault="006315D6" w:rsidP="006315D6">
      <w:pPr>
        <w:spacing w:line="360" w:lineRule="auto"/>
        <w:ind w:firstLine="720"/>
        <w:rPr>
          <w:rFonts w:ascii="Times" w:hAnsi="Times"/>
        </w:rPr>
      </w:pPr>
      <w:r w:rsidRPr="00114AD7">
        <w:rPr>
          <w:rFonts w:ascii="Times" w:hAnsi="Times"/>
        </w:rPr>
        <w:t xml:space="preserve">Bivalves and many other aquatic invertebrates have proven to be sensitive to acute exposures to elevated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across life stages.  It is difficult to make direct comparisons across studies due to differences in exposure time,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level, and, most importantly, ecological and evolutionary history of exposure to low pH events for the source population of study (i.e. </w:t>
      </w:r>
      <w:r w:rsidRPr="00114AD7">
        <w:rPr>
          <w:rFonts w:ascii="Times" w:hAnsi="Times"/>
        </w:rPr>
        <w:fldChar w:fldCharType="begin" w:fldLock="1"/>
      </w:r>
      <w:r w:rsidRPr="00114AD7">
        <w:rPr>
          <w:rFonts w:ascii="Times" w:hAnsi="Times"/>
        </w:rPr>
        <w:instrText>ADDIN CSL_CITATION { "citationItems" : [ { "id" : "ITEM-1", "itemData" : { "DOI" : "10.1111/j.1365-2486.2011.02520.x", "ISSN" : "13541013", "author" : [ { "dropping-particle" : "", "family" : "Parker", "given" : "Laura M.", "non-dropping-particle" : "", "parse-names" : false, "suffix" : "" }, { "dropping-particle" : "", "family" : "Ross", "given" : "Pauline M.", "non-dropping-particle" : "", "parse-names" : false, "suffix" : "" }, { "dropping-particle" : "", "family" : "O'Connor", "given" : "Wayne a.", "non-dropping-particle" : "", "parse-names" : false, "suffix" : "" }, { "dropping-particle" : "", "family" : "Borysko", "given" : "Larissa", "non-dropping-particle" : "", "parse-names" : false, "suffix" : "" }, { "dropping-particle" : "", "family" : "Raftos", "given" : "David a.", "non-dropping-particle" : "", "parse-names" : false, "suffix" : "" }, { "dropping-particle" : "", "family" : "P\u00f6rtner", "given" : "Hans-Otto", "non-dropping-particle" : "", "parse-names" : false, "suffix" : "" } ], "container-title" : "Global Change Biology", "id" : "ITEM-1", "issue" : "1", "issued" : { "date-parts" : [ [ "2012", "1", "27" ] ] }, "page" : "82-92", "title" : "Adult exposure influences offspring response to ocean acidification in oysters", "type" : "article-journal", "volume" : "18" }, "uris" : [ "http://www.mendeley.com/documents/?uuid=18ff7a57-ea25-4e6d-a939-9b2c72179914" ] }, { "id" : "ITEM-2", "itemData" : { "DOI" : "10.1111/gcb.12251", "ISSN" : "1354-1013", "PMID" : "23661315", "abstract" : "A rapidly growing body of literature documents the potential negative effects of CO2 -driven ocean acidification (OA) on marine organisms. However, nearly all this work has focused on the effects of future conditions on modern populations, neglecting the role of adaptation. Rapid evolution can alter demographic responses to environmental change, ultimately affecting the likelihood of population persistence, but the capacity for adaptation will differ among populations and species. Here, we measure the capacity of the ecologically important purple sea urchin Strongylocentrotus purpuratus to adapt to OA, using a breeding experiment to estimate additive genetic variance for larval size (an important component of fitness) under future high-pCO2 /low-pH conditions. Although larvae reared under future conditions were smaller than those reared under present-day conditions, we show that there is also abundant genetic variation for body size under elevated pCO2 , indicating that this trait can evolve. The observed heritability of size was 0.40\u00a0\u00b1\u00a00.32 (95% CI) under low pCO2 , and 0.50\u00a0\u00b1\u00a00.30 under high-pCO2 conditions. Accounting for the observed genetic variation in models of future larval size and demographic rates substantially alters projections of performance for this species in the future ocean. Importantly, our model shows that after incorporating the effects of adaptation, the OA-driven decrease in population growth rate is up to 50% smaller, than that predicted by the 'no-adaptation' scenario. Adults used in the experiment were collected from two sites on the coast of the Northeast Pacific that are characterized by different pH regimes, as measured by autonomous sensors. Comparing results between sites, we also found subtle differences in larval size under high-pCO2 rearing conditions, consistent with local adaptation to carbonate chemistry in the field. These results suggest that spatially varying selection may help to maintain genetic variation necessary for adaptation to future OA.", "author" : [ { "dropping-particle" : "", "family" : "Kelly", "given" : "Morgan W", "non-dropping-particle" : "", "parse-names" : false, "suffix" : "" }, { "dropping-particle" : "", "family" : "Padilla-Gami\u00f1o", "given" : "Jacqueline L", "non-dropping-particle" : "", "parse-names" : false, "suffix" : "" }, { "dropping-particle" : "", "family" : "Hofmann", "given" : "Gretchen E", "non-dropping-particle" : "", "parse-names" : false, "suffix" : "" } ], "container-title" : "Global change biology", "id" : "ITEM-2", "issue" : "8", "issued" : { "date-parts" : [ [ "2013", "8" ] ] }, "page" : "2536-46", "title" : "Natural variation and the capacity to adapt to ocean acidification in the keystone sea urchin Strongylocentrotus purpuratus.", "type" : "article-journal", "volume" : "19" }, "uris" : [ "http://www.mendeley.com/documents/?uuid=f5204e35-833c-4def-8ece-b2de67818128" ] } ], "mendeley" : { "manualFormatting" : "Kelly et al., 2013; Parker et al., 2012)", "previouslyFormattedCitation" : "(Kelly, Padilla-Gami\u00f1o, &amp; Hofmann, 2013; L. M. Parker et al., 2012)"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Kelly et al., 2013; Parker et al., 2012)</w:t>
      </w:r>
      <w:r w:rsidRPr="00114AD7">
        <w:rPr>
          <w:rFonts w:ascii="Times" w:hAnsi="Times"/>
        </w:rPr>
        <w:fldChar w:fldCharType="end"/>
      </w:r>
      <w:r w:rsidRPr="00114AD7">
        <w:rPr>
          <w:rFonts w:ascii="Times" w:hAnsi="Times"/>
        </w:rPr>
        <w:t xml:space="preserve">.  However, generalities of the effects of ocean acidification on bivalves do emerge from these </w:t>
      </w:r>
      <w:r w:rsidR="005C024F" w:rsidRPr="00114AD7">
        <w:rPr>
          <w:rFonts w:ascii="Times" w:hAnsi="Times"/>
        </w:rPr>
        <w:t xml:space="preserve">and many other </w:t>
      </w:r>
      <w:r w:rsidRPr="00114AD7">
        <w:rPr>
          <w:rFonts w:ascii="Times" w:hAnsi="Times"/>
        </w:rPr>
        <w:t xml:space="preserve">studies.  </w:t>
      </w:r>
    </w:p>
    <w:p w14:paraId="5D94E195" w14:textId="723E5F8D" w:rsidR="006315D6" w:rsidRPr="00114AD7" w:rsidRDefault="006315D6" w:rsidP="006315D6">
      <w:pPr>
        <w:spacing w:line="360" w:lineRule="auto"/>
        <w:ind w:firstLine="720"/>
        <w:rPr>
          <w:rFonts w:ascii="Times" w:hAnsi="Times"/>
        </w:rPr>
      </w:pPr>
      <w:r w:rsidRPr="00114AD7">
        <w:rPr>
          <w:rFonts w:ascii="Times" w:hAnsi="Times"/>
        </w:rPr>
        <w:t>Bivalve larvae are</w:t>
      </w:r>
      <w:r w:rsidR="005C024F" w:rsidRPr="00114AD7">
        <w:rPr>
          <w:rFonts w:ascii="Times" w:hAnsi="Times"/>
        </w:rPr>
        <w:t xml:space="preserve"> generally</w:t>
      </w:r>
      <w:r w:rsidRPr="00114AD7">
        <w:rPr>
          <w:rFonts w:ascii="Times" w:hAnsi="Times"/>
        </w:rPr>
        <w:t xml:space="preserve"> more sensitive to changes in water chemistry than juveniles and adults, perhaps due to the energetic demands of early growth, </w:t>
      </w:r>
      <w:r w:rsidR="005C024F" w:rsidRPr="00114AD7">
        <w:rPr>
          <w:rFonts w:ascii="Times" w:hAnsi="Times"/>
        </w:rPr>
        <w:t xml:space="preserve">requirements for rapid </w:t>
      </w:r>
      <w:r w:rsidRPr="00114AD7">
        <w:rPr>
          <w:rFonts w:ascii="Times" w:hAnsi="Times"/>
        </w:rPr>
        <w:t>calcification,</w:t>
      </w:r>
      <w:r w:rsidR="005C024F" w:rsidRPr="00114AD7">
        <w:rPr>
          <w:rFonts w:ascii="Times" w:hAnsi="Times"/>
        </w:rPr>
        <w:t xml:space="preserve"> dependence on aragonite as a CaCO</w:t>
      </w:r>
      <w:r w:rsidR="005C024F" w:rsidRPr="00114AD7">
        <w:rPr>
          <w:rFonts w:ascii="Times" w:hAnsi="Times"/>
          <w:vertAlign w:val="subscript"/>
        </w:rPr>
        <w:t>3</w:t>
      </w:r>
      <w:r w:rsidR="005C024F" w:rsidRPr="00114AD7">
        <w:rPr>
          <w:rFonts w:ascii="Times" w:hAnsi="Times"/>
        </w:rPr>
        <w:t xml:space="preserve"> source,</w:t>
      </w:r>
      <w:r w:rsidRPr="00114AD7">
        <w:rPr>
          <w:rFonts w:ascii="Times" w:hAnsi="Times"/>
        </w:rPr>
        <w:t xml:space="preserve"> and </w:t>
      </w:r>
      <w:r w:rsidR="005C024F" w:rsidRPr="00114AD7">
        <w:rPr>
          <w:rFonts w:ascii="Times" w:hAnsi="Times"/>
        </w:rPr>
        <w:t xml:space="preserve">energetic requirements during </w:t>
      </w:r>
      <w:r w:rsidRPr="00114AD7">
        <w:rPr>
          <w:rFonts w:ascii="Times" w:hAnsi="Times"/>
        </w:rPr>
        <w:t xml:space="preserve">metamorphosis.  At the phenotypic level, growth and calcification of bivalve larvae are negatively impacted by elevated </w:t>
      </w:r>
      <w:r w:rsidRPr="00114AD7">
        <w:rPr>
          <w:rFonts w:ascii="Times" w:hAnsi="Times"/>
          <w:i/>
        </w:rPr>
        <w:t>p</w:t>
      </w:r>
      <w:r w:rsidRPr="00114AD7">
        <w:rPr>
          <w:rFonts w:ascii="Times" w:hAnsi="Times"/>
        </w:rPr>
        <w:t>CO</w:t>
      </w:r>
      <w:r w:rsidRPr="00114AD7">
        <w:rPr>
          <w:rFonts w:ascii="Times" w:hAnsi="Times"/>
          <w:vertAlign w:val="subscript"/>
        </w:rPr>
        <w:t xml:space="preserve">2 </w:t>
      </w:r>
      <w:r w:rsidRPr="00114AD7">
        <w:rPr>
          <w:rFonts w:ascii="Times" w:hAnsi="Times"/>
        </w:rPr>
        <w:fldChar w:fldCharType="begin" w:fldLock="1"/>
      </w:r>
      <w:r w:rsidRPr="00114AD7">
        <w:rPr>
          <w:rFonts w:ascii="Times" w:hAnsi="Times"/>
        </w:rPr>
        <w:instrText>ADDIN CSL_CITATION { "citationItems" : [ { "id" : "ITEM-1",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"ITEM-1",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"ITEM-2", "itemData" : { "DOI" : "10.1371/journal.pone.0005661", "ISSN" : "1932-6203", "PMID" : "19478855", "abstract" : "BACKGROUND: Human activities have increased atmospheric concentrations of carbon dioxide by 36% during the past 200 years. One third of all anthropogenic CO(2) has been absorbed by the oceans, reducing pH by about 0.1 of a unit and significantly altering their carbonate chemistry. There is widespread concern that these changes are altering marine habitats severely, but little or no attention has been given to the biota of estuarine and coastal settings, ecosystems that are less pH buffered because of naturally reduced alkalinity.\n\nMETHODOLOGY/PRINCIPAL FINDINGS: To address CO(2)-induced changes to estuarine calcification, veliger larvae of two oyster species, the Eastern oyster (Crassostrea virginica), and the Suminoe oyster (Crassostrea ariakensis) were grown in estuarine water under four pCO(2) regimes, 280, 380, 560 and 800 microatm, to simulate atmospheric conditions in the pre-industrial era, present, and projected future concentrations in 50 and 100 years respectively. CO(2) manipulations were made using an automated negative feedback control system that allowed continuous and precise control over the pCO(2) in experimental aquaria. Larval growth was measured using image analysis, and calcification was measured by chemical analysis of calcium in their shells. C. virginica experienced a 16% decrease in shell area and a 42% reduction in calcium content when pre-industrial and end of 21(st) century pCO(2) treatments were compared. C. ariakensis showed no change to either growth or calcification. Both species demonstrated net calcification and growth, even when aragonite was undersaturated, a result that runs counter to previous expectations for invertebrate larvae that produce aragonite shells.\n\nCONCLUSIONS AND SIGNIFICANCE: Our results suggest that temperate estuarine and coastal ecosystems are vulnerable to the expected changes in water chemistry due to elevated atmospheric CO(2) and that biological responses to acidification, especially calcifying biota, will be species-specific and therefore much more variable and complex than reported previously.", "author" : [ { "dropping-particle" : "", "family" : "Miller", "given" : "a Whitman", "non-dropping-particle" : "", "parse-names" : false, "suffix" : "" }, { "dropping-particle" : "", "family" : "Reynolds", "given" : "Amanda C", "non-dropping-particle" : "", "parse-names" : false, "suffix" : "" }, { "dropping-particle" : "", "family" : "Sobrino", "given" : "Cristina", "non-dropping-particle" : "", "parse-names" : false, "suffix" : "" }, { "dropping-particle" : "", "family" : "Riedel", "given" : "Gerhardt F", "non-dropping-particle" : "", "parse-names" : false, "suffix" : "" } ], "container-title" : "PloS one", "id" : "ITEM-2", "issue" : "5", "issued" : { "date-parts" : [ [ "2009", "1" ] ] }, "page" : "e5661", "title" : "Shellfish face uncertain future in high CO2 world: influence of acidification on oyster larvae calcification and growth in estuaries.", "type" : "article-journal", "volume" : "4" }, "uris" : [ "http://www.mendeley.com/documents/?uuid=a864d9e6-056f-4158-8c2c-290c64d29b8f" ] }, { "id" : "ITEM-3", "itemData" : { "DOI" : "10.1371/journal.pone.0026941", "ISSN" : "1932-6203", "PMID" : "22066018", "abstract" : "Rising CO(2) concentrations and water temperatures this century are likely to have transformative effects on many coastal marine organisms. Here, we compared the responses of two life history stages (larval, juvenile) of three species of calcifying bivalves (Mercenaria mercenaria, Crassostrea virginica, and Argopecten irradians) to temperatures (24 and 28\u00b0C) and CO(2) concentrations (\u223c250, 390, and 750 ppm) representative of past, present, and future summer conditions in temperate estuaries. Results demonstrated that increases in temperature and CO(2) each significantly depressed survival, development, growth, and lipid synthesis of M. mercenaria and A. irradians larvae and that the effects were additive. Juvenile M. mercenaria and A. irradians were negatively impacted by higher temperatures while C. virginica juveniles were not. C. virginica and A. irradians juveniles were negatively affected by higher CO(2) concentrations, while M. mercenaria was not. Larvae were substantially more vulnerable to elevated CO(2) than juvenile stages. These findings suggest that current and future increases in temperature and CO(2) are likely to have negative consequences for coastal bivalve populations.", "author" : [ { "dropping-particle" : "", "family" : "Talmage", "given" : "Stephanie C", "non-dropping-particle" : "", "parse-names" : false, "suffix" : "" }, { "dropping-particle" : "", "family" : "Gobler", "given" : "Christopher J", "non-dropping-particle" : "", "parse-names" : false, "suffix" : "" } ], "container-title" : "PloS one", "id" : "ITEM-3", "issue" : "10", "issued" : { "date-parts" : [ [ "2011", "1" ] ] }, "page" : "e26941", "title" : "Effects of elevated temperature and carbon dioxide on the growth and survival of larvae and juveniles of three species of northwest Atlantic bivalves.", "type" : "article-journal", "volume" : "6" }, "uris" : [ "http://www.mendeley.com/documents/?uuid=d7e45f6d-2797-40e3-a712-308f1d508c6a" ] }, { "id" : "ITEM-4", "itemData" : { "DOI" : "10.3354/meps08809", "ISSN" : "0171-8630", "author" : [ { "dropping-particle" : "", "family" : "Waldbusser", "given" : "Gg", "non-dropping-particle" : "", "parse-names" : false, "suffix" : "" }, { "dropping-particle" : "", "family" : "Bergschneider", "given" : "H", "non-dropping-particle" : "", "parse-names" : false, "suffix" : "" }, { "dropping-particle" : "", "family" : "Green", "given" : "Ma", "non-dropping-particle" : "", "parse-names" : false, "suffix" : "" } ], "container-title" : "Marine Ecology Progress Series", "id" : "ITEM-4", "issue" : "x", "issued" : { "date-parts" : [ [ "2010", "11", "4" ] ] }, "page" : "171-182", "title" : "Size-dependent pH effect on calcification in post-larval hard clam Mercenaria spp.", "type" : "article-journal", "volume" : "417" }, "uris" : [ "http://www.mendeley.com/documents/?uuid=a00f33c7-95f9-4083-b7e4-92bf59b49b05" ] }, { "id" : "ITEM-5", "itemData" : { "DOI" : "10.1016/j.jembe.2012.12.014", "ISSN" : "00220981", "author" : [ { "dropping-particle" : "", "family" : "Barros", "given" : "P.", "non-dropping-particle" : "", "parse-names" : false, "suffix" : "" }, { "dropping-particle" : "", "family" : "Sobral", "given" : "P.", "non-dropping-particle" : "", "parse-names" : false, "suffix" : "" }, { "dropping-particle" : "", "family" : "Range", "given" : "P.", "non-dropping-particle" : "", "parse-names" : false, "suffix" : "" }, { "dropping-particle" : "", "family" : "Ch\u00edcharo", "given" : "L.", "non-dropping-particle" : "", "parse-names" : false, "suffix" : "" }, { "dropping-particle" : "", "family" : "Matias", "given" : "D.", "non-dropping-particle" : "", "parse-names" : false, "suffix" : "" } ], "container-title" : "Journal of Experimental Marine Biology and Ecology", "id" : "ITEM-5", "issued" : { "date-parts" : [ [ "2013", "2" ] ] }, "page" : "200-206", "publisher" : "Elsevier B.V.", "title" : "Effects of sea-water acidification on fertilization and larval development of the oyster Crassostrea gigas", "type" : "article-journal", "volume" : "440" }, "uris" : [ "http://www.mendeley.com/documents/?uuid=cac9d3cc-1ae1-4744-a1c3-e9a8a5989e5e" ] }, { "id" : "ITEM-6", "itemData" : { "ISSN" : "0012-9658", "PMID" : "23431605", "abstract" : "Predicting impacts of global environmental change is challenging due to the complex life cycles that characterize many terrestrial and aquatic taxa. Different life stages often interact with the physical environment in distinct ways, and a growing body of work suggests that stresses experienced during one life stage can \"carry over\" to influence subsequent stages. Assessments of population responses to environmental perturbation must therefore consider how effects might propagate across life-history transitions. We investigated consequences of ocean acidification (decreased pH and carbonate saturation) for early life stages of the Olympia oyster (Ostrea lurida), a foundation species in estuaries along the Pacific coast of North America. We reared oysters at three levels of seawater pH, including a control (8.0) and two additional levels (7.9 and 7.8). Oysters were cultured through their planktonic larval period to metamorphosis and into early juvenile life. Larvae reared under pH 7.8 exhibited a 15% decrease in larval shell growth rate, and a 7% decrease in shell area at settlement, compared to larvae reared under control conditions. Impacts were even more pronounced a week after settlement, with juveniles that had been reared as larvae under reduced pH exhibiting a 41% decrease in shell growth rate. Importantly, the latter effect arose regardless of the pH level the oysters experienced as juveniles, indicating a strong carry-over effect from the larval phase. Adverse impacts of early exposure to low pH persisted for at least 1.5 months after juveniles were transferred to a common environment. Overall, our results suggest that a stringent focus on a single phase of the life cycle (e.g., one perceived as the \"weakest link\") may neglect critical impacts that can be transferred across life stages in taxa with complex life histories.", "author" : [ { "dropping-particle" : "", "family" : "Hettinger", "given" : "Annaliese", "non-dropping-particle" : "", "parse-names" : false, "suffix" : "" }, { "dropping-particle" : "", "family" : "Sanford", "given" : "Eric", "non-dropping-particle" : "", "parse-names" : false, "suffix" : "" }, { "dropping-particle" : "", "family" : "Hill", "given" : "Tessa M", "non-dropping-particle" : "", "parse-names" : false, "suffix" : "" }, { "dropping-particle" : "", "family" : "Russell", "given" : "Ann D", "non-dropping-particle" : "", "parse-names" : false, "suffix" : "" }, { "dropping-particle" : "", "family" : "Sato", "given" : "Kirk N S", "non-dropping-particle" : "", "parse-names" : false, "suffix" : "" }, { "dropping-particle" : "", "family" : "Hoey", "given" : "Jennifer", "non-dropping-particle" : "", "parse-names" : false, "suffix" : "" }, { "dropping-particle" : "", "family" : "Forsch", "given" : "Margaux", "non-dropping-particle" : "", "parse-names" : false, "suffix" : "" }, { "dropping-particle" : "", "family" : "Page", "given" : "Heather N", "non-dropping-particle" : "", "parse-names" : false, "suffix" : "" }, { "dropping-particle" : "", "family" : "Gaylord", "given" : "Brian", "non-dropping-particle" : "", "parse-names" : false, "suffix" : "" } ], "container-title" : "Ecology", "id" : "ITEM-6", "issue" : "12", "issued" : { "date-parts" : [ [ "2012", "12" ] ] }, "page" : "2758-68", "title" : "Persistent carry-over effects of planktonic exposure to ocean acidification in the Olympia oyster.", "type" : "article-journal", "volume" : "93" }, "uris" : [ "http://www.mendeley.com/documents/?uuid=43810796-deab-4e8f-8b3d-49ecedf45bfb" ] }, { "id" : "ITEM-7",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"ITEM-7",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"id" : "ITEM-8", "itemData" : { "DOI" : "10.3354/ab00009", "ISSN" : "1864-7782", "author" : [ { "dropping-particle" : "", "family" : "Kurihara", "given" : "H", "non-dropping-particle" : "", "parse-names" : false, "suffix" : "" }, { "dropping-particle" : "", "family" : "Kato", "given" : "S", "non-dropping-particle" : "", "parse-names" : false, "suffix" : "" }, { "dropping-particle" : "", "family" : "Ishimatsu", "given" : "a", "non-dropping-particle" : "", "parse-names" : false, "suffix" : "" } ], "container-title" : "Aquatic Biology", "id" : "ITEM-8", "issue" : "1", "issued" : { "date-parts" : [ [ "2007", "10", "9" ] ] }, "page" : "91-98", "title" : "Effects of increased seawater pCO2 on early development of the oyster Crassostrea gigas", "type" : "article-journal", "volume" : "1" }, "uris" : [ "http://www.mendeley.com/documents/?uuid=f2a4fa5f-36e7-46a9-b536-012ed638a064" ] }, { "id" : "ITEM-9", "itemData" : { "DOI" : "10.1242/jeb.055939", "ISSN" : "1477-9145", "PMID" : "21753053", "abstract" : "Anthropogenic CO(2) is reducing the pH and altering the carbonate chemistry of seawater, with repercussions for marine organisms and ecosystems. Current research suggests that calcification will decrease in many species, but compelling evidence of impaired functional performance of calcium carbonate structures is sparse, particularly in key species. Here we demonstrate that ocean acidification markedly degrades the mechanical integrity of larval shells in the mussel Mytilus californianus, a critical community member on rocky shores throughout the northeastern Pacific. Larvae cultured in seawater containing CO(2) concentrations expected by the year 2100 (540 or 970 ppm) precipitated weaker, thinner and smaller shells than individuals raised under present-day seawater conditions (380 ppm), and also exhibited lower tissue mass. Under a scenario where mussel larvae exposed to different CO(2) levels develop at similar rates, these trends suggest a suite of potential consequences, including an exacerbated vulnerability of new settlers to crushing and drilling attacks by predators; poorer larval condition, causing increased energetic stress during metamorphosis; and greater risks from desiccation at low tide due to shifts in shell area to body mass ratios. Under an alternative scenario where responses derive exclusively from slowed development, with impacted individuals reaching identical milestones in shell strength and size by settlement, a lengthened larval phase could increase exposure to high planktonic mortality rates. In either case, because early life stages operate as population bottlenecks, driving general patterns of distribution and abundance, the ecological success of this vital species may be tied to how ocean acidification proceeds in coming decades.", "author" : [ { "dropping-particle" : "", "family" : "Gaylord", "given" : "Brian", "non-dropping-particle" : "", "parse-names" : false, "suffix" : "" }, { "dropping-particle" : "", "family" : "Hill", "given" : "Tessa M", "non-dropping-particle" : "", "parse-names" : false, "suffix" : "" }, { "dropping-particle" : "", "family" : "Sanford", "given" : "Eric", "non-dropping-particle" : "", "parse-names" : false, "suffix" : "" }, { "dropping-particle" : "", "family" : "Lenz", "given" : "Elizabeth a", "non-dropping-particle" : "", "parse-names" : false, "suffix" : "" }, { "dropping-particle" : "", "family" : "Jacobs", "given" : "Lisa a", "non-dropping-particle" : "", "parse-names" : false, "suffix" : "" }, { "dropping-particle" : "", "family" : "Sato", "given" : "Kirk N", "non-dropping-particle" : "", "parse-names" : false, "suffix" : "" }, { "dropping-particle" : "", "family" : "Russell", "given" : "Ann D", "non-dropping-particle" : "", "parse-names" : false, "suffix" : "" }, { "dropping-particle" : "", "family" : "Hettinger", "given" : "Annaliese", "non-dropping-particle" : "", "parse-names" : false, "suffix" : "" } ], "container-title" : "The Journal of experimental biology", "id" : "ITEM-9", "issue" : "Pt 15", "issued" : { "date-parts" : [ [ "2011", "8", "1" ] ] }, "page" : "2586-94", "title" : "Functional impacts of ocean acidification in an ecologically critical foundation species.", "type" : "article-journal", "volume" : "214" }, "uris" : [ "http://www.mendeley.com/documents/?uuid=4781a24f-3dab-434c-94f7-d33979f54728" ] } ], "mendeley" : { "manualFormatting" : "(Barros et al., 2013; Barton et al., 2012; Gaylord et al., 2011; Hettinger et al., 2012; Kurihara et al., 2007; Miller et al., 2009; Parker et al., 2010; Talmage and Gobler, 2011; Waldbusser et al., 2010)", "previouslyFormattedCitation" : "(Barros, Sobral, Range, Ch\u00edcharo, &amp; Matias, 2013; Barton et al., 2012; Gaylord et al., 2011; Hettinger et al., 2012; Kurihara, Kato, &amp; Ishimatsu, 2007; Miller, Reynolds, Sobrino, &amp; Riedel, 2009; L. M. Parker, Ross, &amp; O\u2019Connor, 2010; Talmage &amp; Gobler, 2011; G. Waldbusser, Bergschneider, &amp; Green, 2010)"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(Barros et al., 2013; Barton et al., 2012; Gaylord et al., 2011; Hettinger et al., 2012; Kurihara et al., 2007; Miller et al., 2009; Parker et al., 2010; Talmage and Gobler, 2011; Waldbusser et al., 2010)</w:t>
      </w:r>
      <w:r w:rsidRPr="00114AD7">
        <w:rPr>
          <w:rFonts w:ascii="Times" w:hAnsi="Times"/>
        </w:rPr>
        <w:fldChar w:fldCharType="end"/>
      </w:r>
      <w:r w:rsidRPr="00114AD7">
        <w:rPr>
          <w:rFonts w:ascii="Times" w:hAnsi="Times"/>
        </w:rPr>
        <w:t xml:space="preserve">.   These phenotypic changes likely result from changes in energetic resource allocation in the larvae since they are manifested around the time when larvae make the transition from endogenous, maternally provided energetic resources to exogenous food </w:t>
      </w:r>
      <w:r w:rsidRPr="00114AD7">
        <w:rPr>
          <w:rFonts w:ascii="Times" w:hAnsi="Times"/>
        </w:rPr>
        <w:fldChar w:fldCharType="begin" w:fldLock="1"/>
      </w:r>
      <w:r w:rsidRPr="00114AD7">
        <w:rPr>
          <w:rFonts w:ascii="Times" w:hAnsi="Times"/>
        </w:rPr>
        <w:instrText>ADDIN CSL_CITATION { "citationItems" : [ { "id" : "ITEM-1", "itemData" : { "DOI" : "10.1016/j.jembe.2012.12.014", "ISSN" : "00220981", "author" : [ { "dropping-particle" : "", "family" : "Barros", "given" : "P.", "non-dropping-particle" : "", "parse-names" : false, "suffix" : "" }, { "dropping-particle" : "", "family" : "Sobral", "given" : "P.", "non-dropping-particle" : "", "parse-names" : false, "suffix" : "" }, { "dropping-particle" : "", "family" : "Range", "given" : "P.", "non-dropping-particle" : "", "parse-names" : false, "suffix" : "" }, { "dropping-particle" : "", "family" : "Ch\u00edcharo", "given" : "L.", "non-dropping-particle" : "", "parse-names" : false, "suffix" : "" }, { "dropping-particle" : "", "family" : "Matias", "given" : "D.", "non-dropping-particle" : "", "parse-names" : false, "suffix" : "" } ], "container-title" : "Journal of Experimental Marine Biology and Ecology", "id" : "ITEM-1", "issued" : { "date-parts" : [ [ "2013", "2" ] ] }, "page" : "200-206", "publisher" : "Elsevier B.V.", "title" : "Effects of sea-water acidification on fertilization and larval development of the oyster Crassostrea gigas", "type" : "article-journal", "volume" : "440" }, "uris" : [ "http://www.mendeley.com/documents/?uuid=cac9d3cc-1ae1-4744-a1c3-e9a8a5989e5e"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"ITEM-3",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"ITEM-3", "issue" : "8", "issued" : { "date-parts" : [ [ "2012", "10", "20" ] ] }, "page" : "1973-1982", "title" : "Elevated pCO2 causes developmental delay in early larval Pacific oysters, Crassostrea gigas", "type" : "article-journal", "volume" : "160" }, "uris" : [ "http://www.mendeley.com/documents/?uuid=63b29c03-5be1-4e8e-8e0d-a5a1de9e2232" ] } ], "mendeley" : { "manualFormatting" : "(Barros et al., 2013; Barton et al., 2012; Timmins-Schiffman et al., 2012)", "previouslyFormattedCitation" : "(Barros et al., 2013; Barton et al., 2012; Timmins-Schiffman, O\u2019Donnell, Friedman, &amp; Roberts, 2012)"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(Barros et al., 2013; Barton et al., 2012; Timmins-Schiffman et al., 2012)</w:t>
      </w:r>
      <w:r w:rsidRPr="00114AD7">
        <w:rPr>
          <w:rFonts w:ascii="Times" w:hAnsi="Times"/>
        </w:rPr>
        <w:fldChar w:fldCharType="end"/>
      </w:r>
      <w:r w:rsidRPr="00114AD7">
        <w:rPr>
          <w:rFonts w:ascii="Times" w:hAnsi="Times"/>
        </w:rPr>
        <w:t xml:space="preserve">.  The extra energetic demand of dependence upon external food resources means that fewer resources are available for other processes, such as growth and calcification, resulting in an overall developmental delay in ocean acidification-exposed larvae.  </w:t>
      </w:r>
    </w:p>
    <w:p w14:paraId="339EFFB9" w14:textId="7EF38030" w:rsidR="006315D6" w:rsidRPr="00114AD7" w:rsidRDefault="006315D6" w:rsidP="006315D6">
      <w:pPr>
        <w:spacing w:line="360" w:lineRule="auto"/>
        <w:ind w:firstLine="720"/>
        <w:rPr>
          <w:rFonts w:ascii="Times" w:hAnsi="Times"/>
        </w:rPr>
      </w:pPr>
      <w:r w:rsidRPr="00114AD7">
        <w:rPr>
          <w:rFonts w:ascii="Times" w:hAnsi="Times"/>
        </w:rPr>
        <w:t xml:space="preserve">Around the same time as this metabolic shift, </w:t>
      </w:r>
      <w:r w:rsidR="005C024F" w:rsidRPr="00114AD7">
        <w:rPr>
          <w:rFonts w:ascii="Times" w:hAnsi="Times"/>
        </w:rPr>
        <w:t>the first larval stages</w:t>
      </w:r>
      <w:r w:rsidRPr="00114AD7">
        <w:rPr>
          <w:rFonts w:ascii="Times" w:hAnsi="Times"/>
        </w:rPr>
        <w:t xml:space="preserve"> are </w:t>
      </w:r>
      <w:r w:rsidR="005C024F" w:rsidRPr="00114AD7">
        <w:rPr>
          <w:rFonts w:ascii="Times" w:hAnsi="Times"/>
        </w:rPr>
        <w:t>initiating</w:t>
      </w:r>
      <w:r w:rsidRPr="00114AD7">
        <w:rPr>
          <w:rFonts w:ascii="Times" w:hAnsi="Times"/>
        </w:rPr>
        <w:t xml:space="preserve"> the process of calcification, which is more energetically demanding at the D-hinge stage than at later stages </w:t>
      </w:r>
      <w:r w:rsidRPr="00114AD7">
        <w:rPr>
          <w:rFonts w:ascii="Times" w:hAnsi="Times"/>
        </w:rPr>
        <w:fldChar w:fldCharType="begin" w:fldLock="1"/>
      </w:r>
      <w:r w:rsidRPr="00114AD7">
        <w:rPr>
          <w:rFonts w:ascii="Times" w:hAnsi="Times"/>
        </w:rPr>
        <w:instrText>ADDIN CSL_CITATION { "citationItems" : [ { "id" : "ITEM-1", "itemData" : { "DOI" : "10.1002/grl.50449", "ISSN" : "00948276", "author" : [ { "dropping-particle" : "", "family" : "Waldbusser", "given" : "George G.", "non-dropping-particle" : "", "parse-names" : false, "suffix" : "" }, { "dropping-particle" : "", "family" : "Brunner", "given" : "Elizabeth L.", "non-dropping-particle" : "", "parse-names" : false, "suffix" : "" }, { "dropping-particle" : "", "family" : "Haley", "given" : "Brian a.", "non-dropping-particle" : "", "parse-names" : false, "suffix" : "" }, { "dropping-particle" : "", "family" : "Hales", "given" : "Burke", "non-dropping-particle" : "", "parse-names" : false, "suffix" : "" }, { "dropping-particle" : "", "family" : "Langdon", "given" : "Christopher J.", "non-dropping-particle" : "", "parse-names" : false, "suffix" : "" }, { "dropping-particle" : "", "family" : "Prahl", "given" : "Frederick G.", "non-dropping-particle" : "", "parse-names" : false, "suffix" : "" } ], "container-title" : "Geophysical Research Letters", "id" : "ITEM-1", "issue" : "10", "issued" : { "date-parts" : [ [ "2013", "5", "28" ] ] }, "page" : "2171-2176", "title" : "A developmental and energetic basis linking larval oyster shell formation to acidification sensitivity", "type" : "article-journal", "volume" : "40" }, "uris" : [ "http://www.mendeley.com/documents/?uuid=16812f84-2a12-4a25-a537-cefa06437096" ] } ], "mendeley" : { "manualFormatting" : "(Waldbusser et al., 2013)", "previouslyFormattedCitation" : "(G. G. Waldbusser et al., 2013)"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(Waldbusser et al., 2013)</w:t>
      </w:r>
      <w:r w:rsidRPr="00114AD7">
        <w:rPr>
          <w:rFonts w:ascii="Times" w:hAnsi="Times"/>
        </w:rPr>
        <w:fldChar w:fldCharType="end"/>
      </w:r>
      <w:r w:rsidRPr="00114AD7">
        <w:rPr>
          <w:rFonts w:ascii="Times" w:hAnsi="Times"/>
        </w:rPr>
        <w:t xml:space="preserve">.  D-hinge larvae have higher amounts of seawater-derived carbon in their precipitated shell, suggesting that either they are unable to fully isolate their calcifying space or they require relatively more DIC than later stage larvae </w:t>
      </w:r>
      <w:r w:rsidRPr="00114AD7">
        <w:rPr>
          <w:rFonts w:ascii="Times" w:hAnsi="Times"/>
        </w:rPr>
        <w:fldChar w:fldCharType="begin" w:fldLock="1"/>
      </w:r>
      <w:r w:rsidRPr="00114AD7">
        <w:rPr>
          <w:rFonts w:ascii="Times" w:hAnsi="Times"/>
        </w:rPr>
        <w:instrText>ADDIN CSL_CITATION { "citationItems" : [ { "id" : "ITEM-1", "itemData" : { "DOI" : "10.1002/grl.50449", "ISSN" : "00948276", "author" : [ { "dropping-particle" : "", "family" : "Waldbusser", "given" : "George G.", "non-dropping-particle" : "", "parse-names" : false, "suffix" : "" }, { "dropping-particle" : "", "family" : "Brunner", "given" : "Elizabeth L.", "non-dropping-particle" : "", "parse-names" : false, "suffix" : "" }, { "dropping-particle" : "", "family" : "Haley", "given" : "Brian a.", "non-dropping-particle" : "", "parse-names" : false, "suffix" : "" }, { "dropping-particle" : "", "family" : "Hales", "given" : "Burke", "non-dropping-particle" : "", "parse-names" : false, "suffix" : "" }, { "dropping-particle" : "", "family" : "Langdon", "given" : "Christopher J.", "non-dropping-particle" : "", "parse-names" : false, "suffix" : "" }, { "dropping-particle" : "", "family" : "Prahl", "given" : "Frederick G.", "non-dropping-particle" : "", "parse-names" : false, "suffix" : "" } ], "container-title" : "Geophysical Research Letters", "id" : "ITEM-1", "issue" : "10", "issued" : { "date-parts" : [ [ "2013", "5", "28" ] ] }, "page" : "2171-2176", "title" : "A developmental and energetic basis linking larval oyster shell formation to acidification sensitivity", "type" : "article-journal", "volume" : "40" }, "uris" : [ "http://www.mendeley.com/documents/?uuid=16812f84-2a12-4a25-a537-cefa06437096" ] } ], "mendeley" : { "manualFormatting" : "(Waldbusser et al., 2013)", "previouslyFormattedCitation" : "(G. G. Waldbusser et al., 2013)"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(Waldbusser et al., 2013)</w:t>
      </w:r>
      <w:r w:rsidRPr="00114AD7">
        <w:rPr>
          <w:rFonts w:ascii="Times" w:hAnsi="Times"/>
        </w:rPr>
        <w:fldChar w:fldCharType="end"/>
      </w:r>
      <w:r w:rsidRPr="00114AD7">
        <w:rPr>
          <w:rFonts w:ascii="Times" w:hAnsi="Times"/>
        </w:rPr>
        <w:t xml:space="preserve">.  Either hypothesis </w:t>
      </w:r>
      <w:r w:rsidR="00CF48FE" w:rsidRPr="00114AD7">
        <w:rPr>
          <w:rFonts w:ascii="Times" w:hAnsi="Times"/>
        </w:rPr>
        <w:t>leads to the same result -</w:t>
      </w:r>
      <w:r w:rsidRPr="00114AD7">
        <w:rPr>
          <w:rFonts w:ascii="Times" w:hAnsi="Times"/>
        </w:rPr>
        <w:t xml:space="preserve"> that early stage calcification is highly sensitive to changes in carbon availability (i.e. CaCO</w:t>
      </w:r>
      <w:r w:rsidRPr="00114AD7">
        <w:rPr>
          <w:rFonts w:ascii="Times" w:hAnsi="Times"/>
          <w:vertAlign w:val="subscript"/>
        </w:rPr>
        <w:t>3</w:t>
      </w:r>
      <w:r w:rsidRPr="00114AD7">
        <w:rPr>
          <w:rFonts w:ascii="Times" w:hAnsi="Times"/>
        </w:rPr>
        <w:t xml:space="preserve"> saturation state).   The precise mechanisms behind developmental delay and other changes observed in bivalve larvae have yet to be fully characterized, but a proteomic investigation of </w:t>
      </w:r>
      <w:r w:rsidRPr="00114AD7">
        <w:rPr>
          <w:rFonts w:ascii="Times" w:hAnsi="Times"/>
          <w:i/>
        </w:rPr>
        <w:t>Crassostrea hongkongensis</w:t>
      </w:r>
      <w:r w:rsidRPr="00114AD7">
        <w:rPr>
          <w:rFonts w:ascii="Times" w:hAnsi="Times"/>
        </w:rPr>
        <w:t xml:space="preserve"> larvae exposed to elevated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revealed that ocean acidification causes a down-regulation of proteins involved in metabolic pathways </w:t>
      </w:r>
      <w:r w:rsidRPr="00114AD7">
        <w:rPr>
          <w:rFonts w:ascii="Times" w:hAnsi="Times"/>
        </w:rPr>
        <w:fldChar w:fldCharType="begin" w:fldLock="1"/>
      </w:r>
      <w:r w:rsidRPr="00114AD7">
        <w:rPr>
          <w:rFonts w:ascii="Times" w:hAnsi="Times"/>
        </w:rP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"mendeley" : { "previouslyFormattedCitation" : "(Dineshram et al., 2013)"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(Dineshram et al., 2013)</w:t>
      </w:r>
      <w:r w:rsidRPr="00114AD7">
        <w:rPr>
          <w:rFonts w:ascii="Times" w:hAnsi="Times"/>
        </w:rPr>
        <w:fldChar w:fldCharType="end"/>
      </w:r>
      <w:r w:rsidRPr="00114AD7">
        <w:rPr>
          <w:rFonts w:ascii="Times" w:hAnsi="Times"/>
        </w:rPr>
        <w:t>.</w:t>
      </w:r>
    </w:p>
    <w:p w14:paraId="75C539F0" w14:textId="7F9AE9AE" w:rsidR="006315D6" w:rsidRPr="00114AD7" w:rsidRDefault="006315D6" w:rsidP="006315D6">
      <w:pPr>
        <w:spacing w:line="360" w:lineRule="auto"/>
        <w:ind w:firstLine="720"/>
        <w:rPr>
          <w:rFonts w:ascii="Times" w:hAnsi="Times"/>
        </w:rPr>
      </w:pPr>
      <w:r w:rsidRPr="00114AD7">
        <w:rPr>
          <w:rFonts w:ascii="Times" w:hAnsi="Times"/>
        </w:rPr>
        <w:t xml:space="preserve">Adult bivalves are generally less sensitive to changes in oceanic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but still exhibit changes in growth, calcification, and many important physiological processes in response to ocean acidification.  Bivalve shell deposition is negatively impacted by elevated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w:t>
      </w:r>
      <w:r w:rsidRPr="00114AD7">
        <w:rPr>
          <w:rFonts w:ascii="Times" w:hAnsi="Times"/>
        </w:rPr>
        <w:fldChar w:fldCharType="begin" w:fldLock="1"/>
      </w:r>
      <w:r w:rsidRPr="00114AD7">
        <w:rPr>
          <w:rFonts w:ascii="Times" w:hAnsi="Times"/>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"mendeley" : { "previouslyFormattedCitation" : "(Gazeau et al., 2007)"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(Gazeau et al., 2007)</w:t>
      </w:r>
      <w:r w:rsidRPr="00114AD7">
        <w:rPr>
          <w:rFonts w:ascii="Times" w:hAnsi="Times"/>
        </w:rPr>
        <w:fldChar w:fldCharType="end"/>
      </w:r>
      <w:r w:rsidRPr="00114AD7">
        <w:rPr>
          <w:rFonts w:ascii="Times" w:hAnsi="Times"/>
        </w:rPr>
        <w:t xml:space="preserve"> and some studies have illustrated decreased shell growth in low pH-exposed juveniles and adults </w:t>
      </w:r>
      <w:r w:rsidRPr="00114AD7">
        <w:rPr>
          <w:rFonts w:ascii="Times" w:hAnsi="Times"/>
        </w:rPr>
        <w:fldChar w:fldCharType="begin" w:fldLock="1"/>
      </w:r>
      <w:r w:rsidRPr="00114AD7">
        <w:rPr>
          <w:rFonts w:ascii="Times" w:hAnsi="Times"/>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"id" : "ITEM-2", "itemData" : { "author" : [ { "dropping-particle" : "", "family" : "Michaelidis", "given" : "Basile", "non-dropping-particle" : "", "parse-names" : false, "suffix" : "" }, { "dropping-particle" : "", "family" : "Ouzounis", "given" : "Christos", "non-dropping-particle" : "", "parse-names" : false, "suffix" : "" }, { "dropping-particle" : "", "family" : "Paleras", "given" : "Andreas", "non-dropping-particle" : "", "parse-names" : false, "suffix" : "" }, { "dropping-particle" : "", "family" : "P\u00f6rtner", "given" : "Hans O", "non-dropping-particle" : "", "parse-names" : false, "suffix" : "" } ], "id" : "ITEM-2", "issue" : "Lackner 2003", "issued" : { "date-parts" : [ [ "2005" ] ] }, "page" : "109-118", "title" : "Effects of long-term moderate hypercapnia on acid \u2013 base balance and growth rate in marine mussels Mytilus galloprovincialis", "type" : "article-journal", "volume" : "293" }, "uris" : [ "http://www.mendeley.com/documents/?uuid=cf56c145-c79b-47e0-a67d-bd73d711332c" ] }, { "id" : "ITEM-3", "itemData" : { "DOI" : "10.1007/s00227-010-1527-0", "ISSN" : "0025-3162", "author" : [ { "dropping-particle" : "", "family" : "Thomsen", "given" : "J\u00f6rn", "non-dropping-particle" : "", "parse-names" : false, "suffix" : "" }, { "dropping-particle" : "", "family" : "Melzner", "given" : "Frank", "non-dropping-particle" : "", "parse-names" : false, "suffix" : "" } ], "container-title" : "Marine Biology", "id" : "ITEM-3", "issue" : "12", "issued" : { "date-parts" : [ [ "2010", "8", "12" ] ] }, "page" : "2667-2676", "title" : "Moderate seawater acidification does not elicit long-term metabolic depression in the blue mussel Mytilus edulis", "type" : "article-journal", "volume" : "157" }, "uris" : [ "http://www.mendeley.com/documents/?uuid=5360d171-b160-420b-ad68-7850acff82b8" ] } ], "mendeley" : { "manualFormatting" : "(Beniash et al., 2010; Michaelidis et al., 2005; Thomsen and Melzner, 2010)", "previouslyFormattedCitation" : "(Beniash, Ivanina, Lieb, Kurochkin, &amp; Sokolova, 2010; Michaelidis, Ouzounis, Paleras, &amp; P\u00f6rtner, 2005; Thomsen &amp; Melzner, 2010)"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(Beniash et al., 2010; Michaelidis et al., 2005; Thomsen and Melzner, 2010)</w:t>
      </w:r>
      <w:r w:rsidRPr="00114AD7">
        <w:rPr>
          <w:rFonts w:ascii="Times" w:hAnsi="Times"/>
        </w:rPr>
        <w:fldChar w:fldCharType="end"/>
      </w:r>
      <w:r w:rsidRPr="00114AD7">
        <w:rPr>
          <w:rFonts w:ascii="Times" w:hAnsi="Times"/>
        </w:rPr>
        <w:t>.  The negative effects of decreased pH (and thereby decreased Ω</w:t>
      </w:r>
      <w:r w:rsidR="005C024F" w:rsidRPr="00114AD7">
        <w:rPr>
          <w:rFonts w:ascii="Times" w:hAnsi="Times"/>
        </w:rPr>
        <w:t xml:space="preserve"> of aragonite</w:t>
      </w:r>
      <w:r w:rsidRPr="00114AD7">
        <w:rPr>
          <w:rFonts w:ascii="Times" w:hAnsi="Times"/>
        </w:rPr>
        <w:t xml:space="preserve">) are most often manifested in weaker shells that are structurally compromised </w:t>
      </w:r>
      <w:r w:rsidRPr="00114AD7">
        <w:rPr>
          <w:rFonts w:ascii="Times" w:hAnsi="Times"/>
        </w:rPr>
        <w:fldChar w:fldCharType="begin" w:fldLock="1"/>
      </w:r>
      <w:r w:rsidRPr="00114AD7">
        <w:rPr>
          <w:rFonts w:ascii="Times" w:hAnsi="Times"/>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"id" : "ITEM-3", "itemData" : { "author" : [ { "dropping-particle" : "", "family" : "Welladsen", "given" : "Heather M", "non-dropping-particle" : "", "parse-names" : false, "suffix" : "" }, { "dropping-particle" : "", "family" : "Southgate", "given" : "Paul C", "non-dropping-particle" : "", "parse-names" : false, "suffix" : "" }, { "dropping-particle" : "", "family" : "Heimann", "given" : "Kirsten", "non-dropping-particle" : "", "parse-names" : false, "suffix" : "" } ], "id" : "ITEM-3", "issue" : "3", "issued" : { "date-parts" : [ [ "2010" ] ] }, "page" : "125-130", "title" : "The effects of exposure to near-future levels of ocean acidification on shell characteristics of Pinctada fucata ( Bivalvia : Pteriidae )", "type" : "article-journal", "volume" : "30" }, "uris" : [ "http://www.mendeley.com/documents/?uuid=df3e1164-dd90-46c5-aba5-4fcaa1bd5725" ] } ], "mendeley" : { "manualFormatting" : "(Dickinson et al., 2012; Dickinson et al., 2013; Welladsen et al., 2010)", "previouslyFormattedCitation" : "(Dickinson et al., 2012; Dickinson, Matoo, Tourek, Sokolova, &amp; Beniash, 2013; Welladsen, Southgate, &amp; Heimann, 2010)"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(Dickinson et al., 2012; Dickinson et al., 2013; Welladsen et al., 2010)</w:t>
      </w:r>
      <w:r w:rsidRPr="00114AD7">
        <w:rPr>
          <w:rFonts w:ascii="Times" w:hAnsi="Times"/>
        </w:rPr>
        <w:fldChar w:fldCharType="end"/>
      </w:r>
      <w:r w:rsidRPr="00114AD7">
        <w:rPr>
          <w:rFonts w:ascii="Times" w:hAnsi="Times"/>
        </w:rPr>
        <w:t>.</w:t>
      </w:r>
    </w:p>
    <w:p w14:paraId="2A4CB54F" w14:textId="643C4255" w:rsidR="006315D6" w:rsidRPr="00114AD7" w:rsidRDefault="006315D6" w:rsidP="006315D6">
      <w:pPr>
        <w:spacing w:line="360" w:lineRule="auto"/>
        <w:rPr>
          <w:rFonts w:ascii="Times" w:hAnsi="Times"/>
        </w:rPr>
      </w:pPr>
      <w:r w:rsidRPr="00114AD7">
        <w:rPr>
          <w:rFonts w:ascii="Times" w:hAnsi="Times"/>
        </w:rPr>
        <w:tab/>
      </w:r>
      <w:r w:rsidR="00357B4F" w:rsidRPr="00114AD7">
        <w:rPr>
          <w:rFonts w:ascii="Times" w:hAnsi="Times"/>
        </w:rPr>
        <w:t>Various</w:t>
      </w:r>
      <w:r w:rsidRPr="00114AD7">
        <w:rPr>
          <w:rFonts w:ascii="Times" w:hAnsi="Times"/>
        </w:rPr>
        <w:t xml:space="preserve"> other physiological processes </w:t>
      </w:r>
      <w:r w:rsidR="00357B4F" w:rsidRPr="00114AD7">
        <w:rPr>
          <w:rFonts w:ascii="Times" w:hAnsi="Times"/>
        </w:rPr>
        <w:t>have</w:t>
      </w:r>
      <w:r w:rsidRPr="00114AD7">
        <w:rPr>
          <w:rFonts w:ascii="Times" w:hAnsi="Times"/>
        </w:rPr>
        <w:t xml:space="preserve"> also been explored in the adult bivalve response to ocean acidification, illustrating the wide-ranging effects of this environmental stress.  Changes in metabolic processes may change the energetic resources available for other physiological processes.  In </w:t>
      </w:r>
      <w:r w:rsidRPr="00114AD7">
        <w:rPr>
          <w:rFonts w:ascii="Times" w:hAnsi="Times"/>
          <w:i/>
        </w:rPr>
        <w:t>C. virginica</w:t>
      </w:r>
      <w:r w:rsidRPr="00114AD7">
        <w:rPr>
          <w:rFonts w:ascii="Times" w:hAnsi="Times"/>
        </w:rPr>
        <w:t xml:space="preserve">, glycogen and lipid in whole body tissue decreased after an eleven week exposure to low pH </w:t>
      </w:r>
      <w:r w:rsidRPr="00114AD7">
        <w:rPr>
          <w:rFonts w:ascii="Times" w:hAnsi="Times"/>
        </w:rPr>
        <w:fldChar w:fldCharType="begin" w:fldLock="1"/>
      </w:r>
      <w:r w:rsidRPr="00114AD7">
        <w:rPr>
          <w:rFonts w:ascii="Times" w:hAnsi="Times"/>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(Dickinson et al., 2012)</w:t>
      </w:r>
      <w:r w:rsidRPr="00114AD7">
        <w:rPr>
          <w:rFonts w:ascii="Times" w:hAnsi="Times"/>
        </w:rPr>
        <w:fldChar w:fldCharType="end"/>
      </w:r>
      <w:r w:rsidRPr="00114AD7">
        <w:rPr>
          <w:rFonts w:ascii="Times" w:hAnsi="Times"/>
        </w:rPr>
        <w:t xml:space="preserve">.  Similarly, metabolic shifts were evidenced in </w:t>
      </w:r>
      <w:r w:rsidRPr="00114AD7">
        <w:rPr>
          <w:rFonts w:ascii="Times" w:hAnsi="Times"/>
          <w:i/>
        </w:rPr>
        <w:t>C. gigas</w:t>
      </w:r>
      <w:r w:rsidRPr="00114AD7">
        <w:rPr>
          <w:rFonts w:ascii="Times" w:hAnsi="Times"/>
        </w:rPr>
        <w:t xml:space="preserve"> after a 55-day exposure to low pH by changes in metabolites in the mantle and gill tissue </w:t>
      </w:r>
      <w:r w:rsidRPr="00114AD7">
        <w:rPr>
          <w:rFonts w:ascii="Times" w:hAnsi="Times"/>
        </w:rPr>
        <w:fldChar w:fldCharType="begin" w:fldLock="1"/>
      </w:r>
      <w:r w:rsidRPr="00114AD7">
        <w:rPr>
          <w:rFonts w:ascii="Times" w:hAnsi="Times"/>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"manualFormatting" : "(Lannig et al., 2010)", "previouslyFormattedCitation" : "(Lannig, Eilers, P\u00f6rtner, Sokolova, &amp; Bock, 2010)"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(Lannig et al., 2010)</w:t>
      </w:r>
      <w:r w:rsidRPr="00114AD7">
        <w:rPr>
          <w:rFonts w:ascii="Times" w:hAnsi="Times"/>
        </w:rPr>
        <w:fldChar w:fldCharType="end"/>
      </w:r>
      <w:r w:rsidRPr="00114AD7">
        <w:rPr>
          <w:rFonts w:ascii="Times" w:hAnsi="Times"/>
        </w:rPr>
        <w:t xml:space="preserve">.  During concurrent exposure to elevated temperature and ocean acidification, </w:t>
      </w:r>
      <w:r w:rsidRPr="00114AD7">
        <w:rPr>
          <w:rFonts w:ascii="Times" w:hAnsi="Times"/>
          <w:i/>
        </w:rPr>
        <w:t>C. gigas</w:t>
      </w:r>
      <w:r w:rsidRPr="00114AD7">
        <w:rPr>
          <w:rFonts w:ascii="Times" w:hAnsi="Times"/>
        </w:rPr>
        <w:t xml:space="preserve"> increased metabolic usage of carbohydrates and lipids compared to proteins </w:t>
      </w:r>
      <w:r w:rsidRPr="00114AD7">
        <w:rPr>
          <w:rFonts w:ascii="Times" w:hAnsi="Times"/>
        </w:rPr>
        <w:fldChar w:fldCharType="begin" w:fldLock="1"/>
      </w:r>
      <w:r w:rsidRPr="00114AD7">
        <w:rPr>
          <w:rFonts w:ascii="Times" w:hAnsi="Times"/>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(Clark et al., 2013)</w:t>
      </w:r>
      <w:r w:rsidRPr="00114AD7">
        <w:rPr>
          <w:rFonts w:ascii="Times" w:hAnsi="Times"/>
        </w:rPr>
        <w:fldChar w:fldCharType="end"/>
      </w:r>
      <w:r w:rsidRPr="00114AD7">
        <w:rPr>
          <w:rFonts w:ascii="Times" w:hAnsi="Times"/>
        </w:rPr>
        <w:t xml:space="preserve">.  The important impacts of ocean acidification on metabolic processes is further evidenced by studies that have revealed that the negative effects of elevated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are largely mitigated when mussels have greater access to food resources </w:t>
      </w:r>
      <w:r w:rsidRPr="00114AD7">
        <w:rPr>
          <w:rFonts w:ascii="Times" w:hAnsi="Times"/>
        </w:rPr>
        <w:fldChar w:fldCharType="begin" w:fldLock="1"/>
      </w:r>
      <w:r w:rsidRPr="00114AD7">
        <w:rPr>
          <w:rFonts w:ascii="Times" w:hAnsi="Times"/>
        </w:rPr>
        <w:instrText>ADDIN CSL_CITATION { "citationItems" : [ { "id" : "ITEM-1",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"ITEM-1",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"id" : "ITEM-2", "itemData" : { "DOI" : "10.1111/gcb.12109", "ISSN" : "1354-1013", "PMID" : "23504880", "abstract" : "Ocean acidification is expected to decrease calcification rates of bivalves. Nevertheless, in many coastal areas high pCO2 variability is encountered already today. Kiel Fjord (Western Baltic Sea) is a brackish (12-20\u00a0g\u00a0kg(-1) ) and CO2 enriched habitat, but the blue mussel Mytilus edulis dominates the benthic community. In a coupled field and laboratory study we examined the annual pCO2 variability in this habitat and the combined effects of elevated pCO2 and food availability on juvenile M.\u00a0edulis growth and calcification. In the laboratory experiment, mussel growth and calcification were found to chiefly depend on food supply, with only minor impacts of pCO2 up to 3350\u00a0\u03bcatm. Kiel Fjord was characterized by strong seasonal pCO2 variability. During summer, maximal pCO2 values of 2500\u00a0\u03bcatm were observed at the surface and &gt;3000\u00a0\u03bcatm at the bottom. However, the field growth experiment revealed seven times higher growth and calcification rates of M.\u00a0edulis at a high pCO2 inner fjord field station (mean pCO2 ca. 1000\u00a0\u03bcatm) in comparison to a low pCO2 outer fjord station (ca. 600\u00a0\u03bcatm). In addition, mussels were able to out-compete the barnacle Amphibalanus improvisus at the high pCO2 site. High mussel productivity at the inner fjord site was enabled by higher particulate organic carbon concentrations. Kiel Fjord is highly impacted by eutrophication, which causes bottom water hypoxia and consequently high seawater pCO2 . At the same time, elevated nutrient concentrations increase the energy availability for filter feeding organisms such as mussels. Thus, M.\u00a0edulis can dominate over a seemingly more acidification resistant species such as A.\u00a0improvisus. We conclude that benthic stages of M.\u00a0edulis tolerate high ambient pCO2 when food supply is abundant and that important habitat characteristics such as species interactions and energy availability need to be considered to predict species vulnerability to ocean acidification.", "author" : [ { "dropping-particle" : "", "family" : "Thomsen", "given" : "J\u00f6rn", "non-dropping-particle" : "", "parse-names" : false, "suffix" : "" }, { "dropping-particle" : "", "family" : "Casties", "given" : "Isabel", "non-dropping-particle" : "", "parse-names" : false, "suffix" : "" }, { "dropping-particle" : "", "family" : "Pansch", "given" : "Christian", "non-dropping-particle" : "", "parse-names" : false, "suffix" : "" }, { "dropping-particle" : "", "family" : "K\u00f6rtzinger", "given" : "Arne", "non-dropping-particle" : "", "parse-names" : false, "suffix" : "" }, { "dropping-particle" : "", "family" : "Melzner", "given" : "Frank", "non-dropping-particle" : "", "parse-names" : false, "suffix" : "" } ], "container-title" : "Global change biology", "id" : "ITEM-2", "issue" : "4", "issued" : { "date-parts" : [ [ "2013", "4" ] ] }, "page" : "1017-27", "title" : "Food availability outweighs ocean acidification effects in juvenile Mytilus edulis: laboratory and field experiments.", "type" : "article-journal", "volume" : "19" }, "uris" : [ "http://www.mendeley.com/documents/?uuid=e9d45c60-a688-4c58-907c-d897bc41f4d0" ] } ], "mendeley" : { "manualFormatting" : "(Melzner et al., 2011; Thomsen et al., 2013)", "previouslyFormattedCitation" : "(Melzner et al., 2011; Thomsen, Casties, Pansch, K\u00f6rtzinger, &amp; Melzner, 2013)"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(Melzner et al., 2011; Thomsen et al., 2013)</w:t>
      </w:r>
      <w:r w:rsidRPr="00114AD7">
        <w:rPr>
          <w:rFonts w:ascii="Times" w:hAnsi="Times"/>
        </w:rPr>
        <w:fldChar w:fldCharType="end"/>
      </w:r>
      <w:r w:rsidRPr="00114AD7">
        <w:rPr>
          <w:rFonts w:ascii="Times" w:hAnsi="Times"/>
        </w:rPr>
        <w:t>.</w:t>
      </w:r>
    </w:p>
    <w:p w14:paraId="5BD45AC2" w14:textId="77777777" w:rsidR="006315D6" w:rsidRDefault="006315D6" w:rsidP="006315D6">
      <w:pPr>
        <w:spacing w:line="360" w:lineRule="auto"/>
        <w:ind w:firstLine="720"/>
      </w:pPr>
      <w:r w:rsidRPr="00114AD7">
        <w:rPr>
          <w:rFonts w:ascii="Times" w:hAnsi="Times"/>
        </w:rPr>
        <w:t xml:space="preserve">Bivalve hemolymph pH closely tracks environmental pH </w:t>
      </w:r>
      <w:r w:rsidRPr="00114AD7">
        <w:rPr>
          <w:rFonts w:ascii="Times" w:hAnsi="Times"/>
        </w:rPr>
        <w:fldChar w:fldCharType="begin" w:fldLock="1"/>
      </w:r>
      <w:r w:rsidRPr="00114AD7">
        <w:rPr>
          <w:rFonts w:ascii="Times" w:hAnsi="Times"/>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"id" : "ITEM-2", "itemData" : { "DOI" : "10.1111/gcb.12109", "ISSN" : "1354-1013", "PMID" : "23504880", "abstract" : "Ocean acidification is expected to decrease calcification rates of bivalves. Nevertheless, in many coastal areas high pCO2 variability is encountered already today. Kiel Fjord (Western Baltic Sea) is a brackish (12-20\u00a0g\u00a0kg(-1) ) and CO2 enriched habitat, but the blue mussel Mytilus edulis dominates the benthic community. In a coupled field and laboratory study we examined the annual pCO2 variability in this habitat and the combined effects of elevated pCO2 and food availability on juvenile M.\u00a0edulis growth and calcification. In the laboratory experiment, mussel growth and calcification were found to chiefly depend on food supply, with only minor impacts of pCO2 up to 3350\u00a0\u03bcatm. Kiel Fjord was characterized by strong seasonal pCO2 variability. During summer, maximal pCO2 values of 2500\u00a0\u03bcatm were observed at the surface and &gt;3000\u00a0\u03bcatm at the bottom. However, the field growth experiment revealed seven times higher growth and calcification rates of M.\u00a0edulis at a high pCO2 inner fjord field station (mean pCO2 ca. 1000\u00a0\u03bcatm) in comparison to a low pCO2 outer fjord station (ca. 600\u00a0\u03bcatm). In addition, mussels were able to out-compete the barnacle Amphibalanus improvisus at the high pCO2 site. High mussel productivity at the inner fjord site was enabled by higher particulate organic carbon concentrations. Kiel Fjord is highly impacted by eutrophication, which causes bottom water hypoxia and consequently high seawater pCO2 . At the same time, elevated nutrient concentrations increase the energy availability for filter feeding organisms such as mussels. Thus, M.\u00a0edulis can dominate over a seemingly more acidification resistant species such as A.\u00a0improvisus. We conclude that benthic stages of M.\u00a0edulis tolerate high ambient pCO2 when food supply is abundant and that important habitat characteristics such as species interactions and energy availability need to be considered to predict species vulnerability to ocean acidification.", "author" : [ { "dropping-particle" : "", "family" : "Thomsen", "given" : "J\u00f6rn", "non-dropping-particle" : "", "parse-names" : false, "suffix" : "" }, { "dropping-particle" : "", "family" : "Casties", "given" : "Isabel", "non-dropping-particle" : "", "parse-names" : false, "suffix" : "" }, { "dropping-particle" : "", "family" : "Pansch", "given" : "Christian", "non-dropping-particle" : "", "parse-names" : false, "suffix" : "" }, { "dropping-particle" : "", "family" : "K\u00f6rtzinger", "given" : "Arne", "non-dropping-particle" : "", "parse-names" : false, "suffix" : "" }, { "dropping-particle" : "", "family" : "Melzner", "given" : "Frank", "non-dropping-particle" : "", "parse-names" : false, "suffix" : "" } ], "container-title" : "Global change biology", "id" : "ITEM-2", "issue" : "4", "issued" : { "date-parts" : [ [ "2013", "4" ] ] }, "page" : "1017-27", "title" : "Food availability outweighs ocean acidification effects in juvenile Mytilus edulis: laboratory and field experiments.", "type" : "article-journal", "volume" : "19" }, "uris" : [ "http://www.mendeley.com/documents/?uuid=e9d45c60-a688-4c58-907c-d897bc41f4d0" ] } ], "mendeley" : { "previouslyFormattedCitation" : "(Lannig et al., 2010; Thomsen et al., 2013)"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(Lannig et al., 2010; Thomsen et al., 2013)</w:t>
      </w:r>
      <w:r w:rsidRPr="00114AD7">
        <w:rPr>
          <w:rFonts w:ascii="Times" w:hAnsi="Times"/>
        </w:rPr>
        <w:fldChar w:fldCharType="end"/>
      </w:r>
      <w:r w:rsidRPr="00114AD7">
        <w:rPr>
          <w:rFonts w:ascii="Times" w:hAnsi="Times"/>
        </w:rPr>
        <w:t xml:space="preserve">.   The change in hemolymph pH may be the main contributing factor to changes in bivalve immune parameters during exposure to elevated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Short-term ocean acidification exposure coupled with elevated temperature altered hemocyte parameters in the clam </w:t>
      </w:r>
      <w:r w:rsidRPr="00114AD7">
        <w:rPr>
          <w:rFonts w:ascii="Times" w:hAnsi="Times"/>
          <w:i/>
        </w:rPr>
        <w:t>Chamela gallina</w:t>
      </w:r>
      <w:r w:rsidRPr="00114AD7">
        <w:rPr>
          <w:rFonts w:ascii="Times" w:hAnsi="Times"/>
        </w:rPr>
        <w:t xml:space="preserve"> and the mussel </w:t>
      </w:r>
      <w:r w:rsidRPr="00114AD7">
        <w:rPr>
          <w:rFonts w:ascii="Times" w:hAnsi="Times"/>
          <w:i/>
        </w:rPr>
        <w:t>Mytilus galloprovincialis</w:t>
      </w:r>
      <w:r w:rsidRPr="00114AD7">
        <w:rPr>
          <w:rFonts w:ascii="Times" w:hAnsi="Times"/>
        </w:rPr>
        <w:t xml:space="preserve"> </w:t>
      </w:r>
      <w:r w:rsidRPr="00114AD7">
        <w:rPr>
          <w:rFonts w:ascii="Times" w:hAnsi="Times"/>
        </w:rPr>
        <w:fldChar w:fldCharType="begin" w:fldLock="1"/>
      </w:r>
      <w:r w:rsidRPr="00114AD7">
        <w:rPr>
          <w:rFonts w:ascii="Times" w:hAnsi="Times"/>
        </w:rPr>
        <w:instrText>ADDIN CSL_CITATION { "citationItems" : [ { "id" : "ITEM-1", "itemData" : { "DOI" : "10.1371/journal.pone.0033820", "ISSN" : "1932-6203", "PMID" : "22479452", "abstract" : "Water acidification, temperature increases and changes in seawater salinity are predicted to occur in the near future. In such a global climate change (GCC) scenario, there is growing concern for the health status of both wild and farmed organisms. Bivalve molluscs, an important component of coastal marine ecosystems, are at risk. At the immunological level, the ability of an organism to maintain its immunosurveillance unaltered under adverse environmental conditions may enhance its survival capability. To our knowledge, only a few studies have investigated the effects of changing environmental parameters (as predicted in a GCC scenario) on the immune responses of bivalves. In the present study, the effects of both decreased pH values and increased temperature on the important immune parameters of two bivalve species were evaluated for the first time. The clam Chamelea gallina and the mussel Mytilus galloprovincialis, widespread along the coast of the Northwestern Adriatic Sea, were chosen as model organisms. Bivalves were exposed for 7 days to three pH values (8.1, 7.7 and 7.4) at two temperatures (22 and 28\u00b0C). Three independent experiments were carried out at salinities of 28, 34 and 40 PSU. The total haemocyte count, Neutral Red uptake, haemolymph lysozyme activity and total protein levels were measured. The results obtained demonstrated that tested experimental conditions affected significantly most of the immune parameters measured in bivalves, even if the variation pattern of haemocyte responses was not always linear. Between the two species, C. gallina appeared more vulnerable to changing pH and temperature than M. galloprovincialis. Overall, this study demonstrated that climate changes can strongly affect haemocyte functionality in bivalves. However, further studies are needed to clarify better the mechanisms of action of changing environmental parameters, both individually and in combination, on bivalve haemocytes.", "author" : [ { "dropping-particle" : "", "family" : "Matozzo", "given" : "Valerio", "non-dropping-particle" : "", "parse-names" : false, "suffix" : "" }, { "dropping-particle" : "", "family" : "Chinellato", "given" : "Andrea", "non-dropping-particle" : "", "parse-names" : false, "suffix" : "" }, { "dropping-particle" : "", "family" : "Munari", "given" : "Marco", "non-dropping-particle" : "", "parse-names" : false, "suffix" : "" }, { "dropping-particle" : "", "family" : "Finos", "given" : "Livio", "non-dropping-particle" : "", "parse-names" : false, "suffix" : "" }, { "dropping-particle" : "", "family" : "Bressan", "given" : "Monica", "non-dropping-particle" : "", "parse-names" : false, "suffix" : "" }, { "dropping-particle" : "", "family" : "Marin", "given" : "Maria Gabriella", "non-dropping-particle" : "", "parse-names" : false, "suffix" : "" } ], "container-title" : "PloS one", "id" : "ITEM-1", "issue" : "3", "issued" : { "date-parts" : [ [ "2012", "1" ] ] }, "page" : "e33820", "title" : "First evidence of immunomodulation in bivalves under seawater acidification and increased temperature.", "type" : "article-journal", "volume" : "7" }, "uris" : [ "http://www.mendeley.com/documents/?uuid=7e9140d2-c100-4b68-8624-f3564f7cf953" ] } ], "mendeley" : { "previouslyFormattedCitation" : "(Matozzo et al., 2012)"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(Matozzo et al., 2012)</w:t>
      </w:r>
      <w:r w:rsidRPr="00114AD7">
        <w:rPr>
          <w:rFonts w:ascii="Times" w:hAnsi="Times"/>
        </w:rPr>
        <w:fldChar w:fldCharType="end"/>
      </w:r>
      <w:r w:rsidRPr="00114AD7">
        <w:rPr>
          <w:rFonts w:ascii="Times" w:hAnsi="Times"/>
        </w:rPr>
        <w:t xml:space="preserve">.  There is also evidence of increased oxidative stress in bivalves at the cellular </w:t>
      </w:r>
      <w:r w:rsidRPr="00114AD7">
        <w:rPr>
          <w:rFonts w:ascii="Times" w:hAnsi="Times"/>
        </w:rPr>
        <w:fldChar w:fldCharType="begin" w:fldLock="1"/>
      </w:r>
      <w:r w:rsidRPr="00114AD7">
        <w:rPr>
          <w:rFonts w:ascii="Times" w:hAnsi="Times"/>
        </w:rPr>
        <w:instrText>ADDIN CSL_CITATION { "citationItems" : [ { "id" : "ITEM-1", "itemData" : { "DOI" : "10.1016/j.cbpa.2012.12.025", "ISSN" : "1531-4332", "PMID" : "23319162", "abstract" : "Marine bivalves such as the hard shell clams Mercenaria mercenaria and eastern oysters Crassostrea virginica are affected by multiple stressors, including fluctuations in temperature and CO2 levels in estuaries, and these stresses are expected to be exacerbated by ongoing global climate change. Hypercapnia (elevated CO2 levels) and temperature stress can affect survival, growth and development of marine bivalves, but the cellular mechanisms of these effects are not yet fully understood. In this study, we investigated whether oxidative stress is implicated in cellular responses to elevated temperature and CO2 levels in marine bivalves. We measured the whole-organism standard metabolic rate (SMR), total antioxidant capacity (TAOC), and levels of oxidative stress biomarkers in the muscle tissues of clams and oysters exposed to different temperatures (22 and 27\u00b0C) and CO2 levels (the present day conditions of ~400ppm CO2 and 800ppm CO2 predicted by a consensus business-as-usual IPCC emission scenario for the year 2100). SMR was significantly higher and the antioxidant capacity was lower in oysters than in clams. Aerobic metabolism was largely temperature-independent in these two species in the studied temperature range (22-27\u00b0C). However, the combined exposure to elevated temperature and hypercapnia led to elevated SMR in clams indicating elevated costs of basal maintenance. No persistent oxidative stress signal (measured by the levels of protein carbonyls, and protein conjugates with malondialdehyde and 4-hydroxynonenal) was observed during the long-term exposure to moderate warming (+5\u00b0C) and hypercapnia (~800ppm CO2). This indicates that long-term exposure to moderately elevated CO2 and temperature minimally affects the cellular redox status in these bivalve species and that the earlier observed negative physiological effects of elevated CO2 and temperature must be explained by other cellular mechanisms.", "author" : [ { "dropping-particle" : "", "family" : "Matoo", "given" : "Omera B", "non-dropping-particle" : "", "parse-names" : false, "suffix" : "" }, { "dropping-particle" : "V", "family" : "Ivanina", "given" : "Anna", "non-dropping-particle" : "", "parse-names" : false, "suffix" : "" }, { "dropping-particle" : "", "family" : "Ullstad", "given" : "Claus",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"4", "issued" : { "date-parts" : [ [ "2013", "4" ] ] }, "page" : "545-53", "publisher" : "Elsevier Inc.", "title" : "Interactive effects of elevated temperature and CO(2) levels on metabolism and oxidative stress in two common marine bivalves (Crassostrea virginica and Mercenaria mercenaria).", "type" : "article-journal", "volume" : "164" }, "uris" : [ "http://www.mendeley.com/documents/?uuid=d7972656-f16f-4d6d-ab98-2856591a0da9" ] } ], "mendeley" : { "manualFormatting" : "(Matoo et al., 2013)", "previouslyFormattedCitation" : "(Matoo, Ivanina, Ullstad, Beniash, &amp; Sokolova, 2013)"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(Matoo et al., 2013)</w:t>
      </w:r>
      <w:r w:rsidRPr="00114AD7">
        <w:rPr>
          <w:rFonts w:ascii="Times" w:hAnsi="Times"/>
        </w:rPr>
        <w:fldChar w:fldCharType="end"/>
      </w:r>
      <w:r w:rsidRPr="00114AD7">
        <w:rPr>
          <w:rFonts w:ascii="Times" w:hAnsi="Times"/>
        </w:rPr>
        <w:t xml:space="preserve">, gene expression </w:t>
      </w:r>
      <w:r w:rsidRPr="00114AD7">
        <w:rPr>
          <w:rFonts w:ascii="Times" w:hAnsi="Times"/>
        </w:rPr>
        <w:fldChar w:fldCharType="begin" w:fldLock="1"/>
      </w:r>
      <w:r w:rsidRPr="00114AD7">
        <w:rPr>
          <w:rFonts w:ascii="Times" w:hAnsi="Times"/>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(Clark et al., 2013)</w:t>
      </w:r>
      <w:r w:rsidRPr="00114AD7">
        <w:rPr>
          <w:rFonts w:ascii="Times" w:hAnsi="Times"/>
        </w:rPr>
        <w:fldChar w:fldCharType="end"/>
      </w:r>
      <w:r w:rsidRPr="00114AD7">
        <w:rPr>
          <w:rFonts w:ascii="Times" w:hAnsi="Times"/>
        </w:rPr>
        <w:t xml:space="preserve">, and protein expression levels </w:t>
      </w:r>
      <w:r w:rsidRPr="00114AD7">
        <w:rPr>
          <w:rFonts w:ascii="Times" w:hAnsi="Times"/>
        </w:rPr>
        <w:fldChar w:fldCharType="begin" w:fldLock="1"/>
      </w:r>
      <w:r w:rsidRPr="00114AD7">
        <w:rPr>
          <w:rFonts w:ascii="Times" w:hAnsi="Times"/>
        </w:rP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"(Tomanek et al., 2011)", "previouslyFormattedCitation" : "(Tomanek, Zuzow, Ivanina, Beniash, &amp; Sokolova, 2011)"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(Tomanek et al., 2011)</w:t>
      </w:r>
      <w:r w:rsidRPr="00114AD7">
        <w:rPr>
          <w:rFonts w:ascii="Times" w:hAnsi="Times"/>
        </w:rPr>
        <w:fldChar w:fldCharType="end"/>
      </w:r>
      <w:r w:rsidRPr="00114AD7">
        <w:rPr>
          <w:rFonts w:ascii="Times" w:hAnsi="Times"/>
        </w:rPr>
        <w:t>.</w:t>
      </w:r>
      <w:r>
        <w:t xml:space="preserve"> </w:t>
      </w:r>
    </w:p>
    <w:p w14:paraId="7CAAB41E" w14:textId="77777777" w:rsidR="006315D6" w:rsidRDefault="006315D6" w:rsidP="006315D6">
      <w:pPr>
        <w:spacing w:line="360" w:lineRule="auto"/>
      </w:pPr>
    </w:p>
    <w:p w14:paraId="3BCCD577" w14:textId="19B6A60F" w:rsidR="006315D6" w:rsidRDefault="006315D6" w:rsidP="006315D6">
      <w:pPr>
        <w:pStyle w:val="Heading2"/>
      </w:pPr>
      <w:bookmarkStart w:id="13" w:name="_Toc257278767"/>
      <w:r>
        <w:t>Applying Molecular Tools to Study Environmental Change</w:t>
      </w:r>
      <w:bookmarkEnd w:id="13"/>
    </w:p>
    <w:p w14:paraId="41FE7203" w14:textId="77777777" w:rsidR="00D92FB6" w:rsidRPr="00D92FB6" w:rsidRDefault="00D92FB6" w:rsidP="00D92FB6"/>
    <w:p w14:paraId="73D50D51" w14:textId="77777777" w:rsidR="006315D6" w:rsidRPr="00114AD7" w:rsidRDefault="006315D6" w:rsidP="006315D6">
      <w:pPr>
        <w:spacing w:line="360" w:lineRule="auto"/>
        <w:ind w:firstLine="720"/>
        <w:rPr>
          <w:rFonts w:ascii="Times" w:hAnsi="Times"/>
        </w:rPr>
      </w:pPr>
      <w:r w:rsidRPr="00114AD7">
        <w:rPr>
          <w:rFonts w:ascii="Times" w:hAnsi="Times"/>
        </w:rPr>
        <w:t xml:space="preserve">Molecular ecology is the use of molecular data (i.e. DNA, RNA, or protein) to explore interactions between organisms and their environment.  These tools can be applied at the individual gene or protein level (targeted gene sequencing, qPCR, or Western blots) or on a global scale (genomics, transcriptomics, or proteomics).  The latter is a non-biased approach in which the organism is assayed for its response to the environment and can be the basis for discovery of complex organism-environment interactions and biomarker development.  </w:t>
      </w:r>
    </w:p>
    <w:p w14:paraId="4F6CC851" w14:textId="2FB5DE04" w:rsidR="006315D6" w:rsidRPr="00114AD7" w:rsidRDefault="006315D6" w:rsidP="006315D6">
      <w:pPr>
        <w:spacing w:line="360" w:lineRule="auto"/>
        <w:ind w:firstLine="720"/>
        <w:rPr>
          <w:rFonts w:ascii="Times" w:hAnsi="Times"/>
        </w:rPr>
      </w:pPr>
      <w:r w:rsidRPr="00114AD7">
        <w:rPr>
          <w:rFonts w:ascii="Times" w:hAnsi="Times"/>
        </w:rPr>
        <w:t xml:space="preserve">Genome sequencing can provide information on the genomic resources possessed by a species as well as insight into adaptation and evolution.  The recent sequencing of the </w:t>
      </w:r>
      <w:r w:rsidRPr="00114AD7">
        <w:rPr>
          <w:rFonts w:ascii="Times" w:hAnsi="Times"/>
          <w:i/>
        </w:rPr>
        <w:t>C. gigas</w:t>
      </w:r>
      <w:r w:rsidRPr="00114AD7">
        <w:rPr>
          <w:rFonts w:ascii="Times" w:hAnsi="Times"/>
        </w:rPr>
        <w:t xml:space="preserve"> genome revealed that oysters have an expanded repertoire of stress response genes compared to the genomes of seven other species </w:t>
      </w:r>
      <w:r w:rsidRPr="00114AD7">
        <w:rPr>
          <w:rFonts w:ascii="Times" w:hAnsi="Times"/>
        </w:rPr>
        <w:fldChar w:fldCharType="begin" w:fldLock="1"/>
      </w:r>
      <w:r w:rsidRPr="00114AD7">
        <w:rPr>
          <w:rFonts w:ascii="Times" w:hAnsi="Times"/>
        </w:rPr>
        <w:instrText>ADDIN CSL_CITATION { "citationItems" : [ { "id" : "ITEM-1", "itemData" : { "DOI" : "10.1038/nature11413", "ISSN" : "1476-4687", "PMID" : "22992520", "abstract" : "The Pacific oyster Crassostrea gigas belongs to one of the most species-rich but genomically poorly explored phyla, the Mollusca. Here we report the sequencing and assembly of the oyster genome using short reads and a fosmid-pooling strategy, along with transcriptomes of development and stress response and the proteome of the shell. The oyster genome is highly polymorphic and rich in repetitive sequences, with some transposable elements still actively shaping variation. Transcriptome studies reveal an extensive set of genes responding to environmental stress. The expansion of genes coding for heat shock protein 70 and inhibitors of apoptosis is probably central to the oyster's adaptation to sessile life in the highly stressful intertidal zone. Our analyses also show that shell formation in molluscs is more complex than currently understood and involves extensive participation of cells and their exosomes. The oyster genome sequence fills a void in our understanding of the Lophotrochozoa.", "author" : [ { "dropping-particle" : "", "family" : "Zhang", "given" : "Guofan", "non-dropping-particle" : "", "parse-names" : false, "suffix" : "" }, { "dropping-particle" : "", "family" : "Fang", "given" : "Xiaodong", "non-dropping-particle" : "", "parse-names" : false, "suffix" : "" }, { "dropping-particle" : "", "family" : "Guo", "given" : "Ximing", "non-dropping-particle" : "", "parse-names" : false, "suffix" : "" }, { "dropping-particle" : "", "family" : "Li", "given" : "Li", "non-dropping-particle" : "", "parse-names" : false, "suffix" : "" }, { "dropping-particle" : "", "family" : "Luo", "given" : "Ruibang", "non-dropping-particle" : "", "parse-names" : false, "suffix" : "" }, { "dropping-particle" : "", "family" : "Xu", "given" : "Fei", "non-dropping-particle" : "", "parse-names" : false, "suffix" : "" }, { "dropping-particle" : "", "family" : "Yang", "given" : "Pengcheng", "non-dropping-particle" : "", "parse-names" : false, "suffix" : "" }, { "dropping-particle" : "", "family" : "Zhang", "given" : "Linlin", "non-dropping-particle" : "", "parse-names" : false, "suffix" : "" }, { "dropping-particle" : "", "family" : "Wang", "given" : "Xiaotong", "non-dropping-particle" : "", "parse-names" : false, "suffix" : "" }, { "dropping-particle" : "", "family" : "Qi", "given" : "Haigang", "non-dropping-particle" : "", "parse-names" : false, "suffix" : "" }, { "dropping-particle" : "", "family" : "Xiong", "given" : "Zhiqiang", "non-dropping-particle" : "", "parse-names" : false, "suffix" : "" }, { "dropping-particle" : "", "family" : "Que", "given" : "Huayong", "non-dropping-particle" : "", "parse-names" : false, "suffix" : "" }, { "dropping-particle" : "", "family" : "Xie", "given" : "Yinlong", "non-dropping-particle" : "", "parse-names" : false, "suffix" : "" }, { "dropping-particle" : "", "family" : "Holland", "given" : "Peter W H", "non-dropping-particle" : "", "parse-names" : false, "suffix" : "" }, { "dropping-particle" : "", "family" : "Paps", "given" : "Jordi", "non-dropping-particle" : "", "parse-names" : false, "suffix" : "" }, { "dropping-particle" : "", "family" : "Zhu", "given" : "Yabing", "non-dropping-particle" : "", "parse-names" : false, "suffix" : "" }, { "dropping-particle" : "", "family" : "Wu", "given" : "Fucun", "non-dropping-particle" : "", "parse-names" : false, "suffix" : "" }, { "dropping-particle" : "", "family" : "Chen", "given" : "Yuanxin", "non-dropping-particle" : "", "parse-names" : false, "suffix" : "" }, { "dropping-particle" : "", "family" : "Wang", "given" : "Jiafeng", "non-dropping-particle" : "", "parse-names" : false, "suffix" : "" }, { "dropping-particle" : "", "family" : "Peng", "given" : "Chunfang", "non-dropping-particle" : "", "parse-names" : false, "suffix" : "" }, { "dropping-particle" : "", "family" : "Meng", "given" : "Jie", "non-dropping-particle" : "", "parse-names" : false, "suffix" : "" }, { "dropping-particle" : "", "family" : "Yang", "given" : "Lan", "non-dropping-particle" : "", "parse-names" : false, "suffix" : "" }, { "dropping-particle" : "", "family" : "Liu", "given" : "Jun", "non-dropping-particle" : "", "parse-names" : false, "suffix" : "" }, { "dropping-particle" : "", "family" : "Wen", "given" : "Bo", "non-dropping-particle" : "", "parse-names" : false, "suffix" : "" }, { "dropping-particle" : "", "family" : "Zhang", "given" : "Na", "non-dropping-particle" : "", "parse-names" : false, "suffix" : "" }, { "dropping-particle" : "", "family" : "Huang", "given" : "Zhiyong", "non-dropping-particle" : "", "parse-names" : false, "suffix" : "" }, { "dropping-particle" : "", "family" : "Zhu", "given" : "Qihui", "non-dropping-particle" : "", "parse-names" : false, "suffix" : "" }, { "dropping-particle" : "", "family" : "Feng", "given" : "Yue", "non-dropping-particle" : "", "parse-names" : false, "suffix" : "" }, { "dropping-particle" : "", "family" : "Mount", "given" : "Andrew", "non-dropping-particle" : "", "parse-names" : false, "suffix" : "" }, { "dropping-particle" : "", "family" : "Hedgecock", "given" : "Dennis", "non-dropping-particle" : "", "parse-names" : false, "suffix" : "" }, { "dropping-particle" : "", "family" : "Xu", "given" : "Zhe", "non-dropping-particle" : "", "parse-names" : false, "suffix" : "" }, { "dropping-particle" : "", "family" : "Liu", "given" : "Yunjie", "non-dropping-particle" : "", "parse-names" : false, "suffix" : "" }, { "dropping-particle" : "", "family" : "Domazet-Lo\u0161o", "given" : "Tomislav", "non-dropping-particle" : "", "parse-names" : false, "suffix" : "" }, { "dropping-particle" : "", "family" : "Du", "given" : "Yishuai", "non-dropping-particle" : "", "parse-names" : false, "suffix" : "" }, { "dropping-particle" : "", "family" : "Sun", "given" : "Xiaoqing", "non-dropping-particle" : "", "parse-names" : false, "suffix" : "" }, { "dropping-particle" : "", "family" : "Zhang", "given" : "Shoudu", "non-dropping-particle" : "", "parse-names" : false, "suffix" : "" }, { "dropping-particle" : "", "family" : "Liu", "given" : "Binghang", "non-dropping-particle" : "", "parse-names" : false, "suffix" : "" }, { "dropping-particle" : "", "family" : "Cheng", "given" : "Peizhou", "non-dropping-particle" : "", "parse-names" : false, "suffix" : "" }, { "dropping-particle" : "", "family" : "Jiang", "given" : "Xuanting", "non-dropping-particle" : "", "parse-names" : false, "suffix" : "" }, { "dropping-particle" : "", "family" : "Li", "given" : "Juan", "non-dropping-particle" : "", "parse-names" : false, "suffix" : "" }, { "dropping-particle" : "", "family" : "Fan", "given" : "Dingding", "non-dropping-particle" : "", "parse-names" : false, "suffix" : "" }, { "dropping-particle" : "", "family" : "Wang", "given" : "Wei", "non-dropping-particle" : "", "parse-names" : false, "suffix" : "" }, { "dropping-particle" : "", "family" : "Fu", "given" : "Wenjing", "non-dropping-particle" : "", "parse-names" : false, "suffix" : "" }, { "dropping-particle" : "", "family" : "Wang", "given" : "Tong", "non-dropping-particle" : "", "parse-names" : false, "suffix" : "" }, { "dropping-particle" : "", "family" : "Wang", "given" : "Bo", "non-dropping-particle" : "", "parse-names" : false, "suffix" : "" }, { "dropping-particle" : "", "family" : "Zhang", "given" : "Jibiao", "non-dropping-particle" : "", "parse-names" : false, "suffix" : "" }, { "dropping-particle" : "", "family" : "Peng", "given" : "Zhiyu", "non-dropping-particle" : "", "parse-names" : false, "suffix" : "" }, { "dropping-particle" : "", "family" : "Li", "given" : "Yingxiang", "non-dropping-particle" : "", "parse-names" : false, "suffix" : "" }, { "dropping-particle" : "", "family" : "Li", "given" : "Na", "non-dropping-particle" : "", "parse-names" : false, "suffix" : "" }, { "dropping-particle" : "", "family" : "Wang", "given" : "Jinpeng", "non-dropping-particle" : "", "parse-names" : false, "suffix" : "" }, { "dropping-particle" : "", "family" : "Chen", "given" : "Maoshan", "non-dropping-particle" : "", "parse-names" : false, "suffix" : "" }, { "dropping-particle" : "", "family" : "He", "given" : "Yan", "non-dropping-particle" : "", "parse-names" : false, "suffix" : "" }, { "dropping-particle" : "", "family" : "Tan", "given" : "Fengji", "non-dropping-particle" : "", "parse-names" : false, "suffix" : "" }, { "dropping-particle" : "", "family" : "Song", "given" : "Xiaorui", "non-dropping-particle" : "", "parse-names" : false, "suffix" : "" }, { "dropping-particle" : "", "family" : "Zheng", "given" : "Qiumei", "non-dropping-particle" : "", "parse-names" : false, "suffix" : "" }, { "dropping-particle" : "", "family" : "Huang", "given" : "Ronglian", "non-dropping-particle" : "", "parse-names" : false, "suffix" : "" }, { "dropping-particle" : "", "family" : "Yang", "given" : "Hailong", "non-dropping-particle" : "", "parse-names" : false, "suffix" : "" }, { "dropping-particle" : "", "family" : "Du", "given" : "Xuedi", "non-dropping-particle" : "", "parse-names" : false, "suffix" : "" }, { "dropping-particle" : "", "family" : "Chen", "given" : "Li", "non-dropping-particle" : "", "parse-names" : false, "suffix" : "" }, { "dropping-particle" : "", "family" : "Yang", "given" : "Mei", "non-dropping-particle" : "", "parse-names" : false, "suffix" : "" }, { "dropping-particle" : "", "family" : "Gaffney", "given" : "Patrick M", "non-dropping-particle" : "", "parse-names" : false, "suffix" : "" }, { "dropping-particle" : "", "family" : "Wang", "given" : "Shan", "non-dropping-particle" : "", "parse-names" : false, "suffix" : "" }, { "dropping-particle" : "", "family" : "Luo", "given" : "Longhai", "non-dropping-particle" : "", "parse-names" : false, "suffix" : "" }, { "dropping-particle" : "", "family" : "She", "given" : "Zhicai", "non-dropping-particle" : "", "parse-names" : false, "suffix" : "" }, { "dropping-particle" : "", "family" : "Ming", "given" : "Yao", "non-dropping-particle" : "", "parse-names" : false, "suffix" : "" }, { "dropping-particle" : "", "family" : "Huang", "given" : "Wen", "non-dropping-particle" : "", "parse-names" : false, "suffix" : "" }, { "dropping-particle" : "", "family" : "Zhang", "given" : "Shu", "non-dropping-particle" : "", "parse-names" : false, "suffix" : "" }, { "dropping-particle" : "", "family" : "Huang", "given" : "Baoyu", "non-dropping-particle" : "", "parse-names" : false, "suffix" : "" }, { "dropping-particle" : "", "family" : "Zhang", "given" : "Yong", "non-dropping-particle" : "", "parse-names" : false, "suffix" : "" }, { "dropping-particle" : "", "family" : "Qu", "given" : "Tao", "non-dropping-particle" : "", "parse-names" : false, "suffix" : "" }, { "dropping-particle" : "", "family" : "Ni", "given" : "Peixiang", "non-dropping-particle" : "", "parse-names" : false, "suffix" : "" }, { "dropping-particle" : "", "family" : "Miao", "given" : "Guoying", "non-dropping-particle" : "", "parse-names" : false, "suffix" : "" }, { "dropping-particle" : "", "family" : "Wang", "given" : "Junyi", "non-dropping-particle" : "", "parse-names" : false, "suffix" : "" }, { "dropping-particle" : "", "family" : "Wang", "given" : "Qiang", "non-dropping-particle" : "", "parse-names" : false, "suffix" : "" }, { "dropping-particle" : "", "family" : "Steinberg", "given" : "Christian E W", "non-dropping-particle" : "", "parse-names" : false, "suffix" : "" }, { "dropping-particle" : "", "family" : "Wang", "given" : "Haiyan", "non-dropping-particle" : "", "parse-names" : false, "suffix" : "" }, { "dropping-particle" : "", "family" : "Li", "given" : "Ning", "non-dropping-particle" : "", "parse-names" : false, "suffix" : "" }, { "dropping-particle" : "", "family" : "Qian", "given" : "Lumin", "non-dropping-particle" : "", "parse-names" : false, "suffix" : "" }, { "dropping-particle" : "", "family" : "Zhang", "given" : "Guojie", "non-dropping-particle" : "", "parse-names" : false, "suffix" : "" }, { "dropping-particle" : "", "family" : "Li", "given" : "Yingrui", "non-dropping-particle" : "", "parse-names" : false, "suffix" : "" }, { "dropping-particle" : "", "family" : "Yang", "given" : "Huanming", "non-dropping-particle" : "", "parse-names" : false, "suffix" : "" }, { "dropping-particle" : "", "family" : "Liu", "given" : "Xiao", "non-dropping-particle" : "", "parse-names" : false, "suffix" : "" }, { "dropping-particle" : "", "family" : "Wang", "given" : "Jian", "non-dropping-particle" : "", "parse-names" : false, "suffix" : "" }, { "dropping-particle" : "", "family" : "Yin", "given" : "Ye", "non-dropping-particle" : "", "parse-names" : false, "suffix" : "" }, { "dropping-particle" : "", "family" : "Wang", "given" : "Jun", "non-dropping-particle" : "", "parse-names" : false, "suffix" : "" } ], "container-title" : "Nature", "id" : "ITEM-1", "issue" : "7418", "issued" : { "date-parts" : [ [ "2012", "10", "4" ] ] }, "page" : "49-54", "title" : "The oyster genome reveals stress adaptation and complexity of shell formation.", "type" : "article-journal", "volume" : "490" }, "uris" : [ "http://www.mendeley.com/documents/?uuid=1f5e5798-e240-456c-b025-d970e5975145" ] } ], "mendeley" : { "previouslyFormattedCitation" : "(Zhang et al., 2012)"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(Zhang et al., 2012)</w:t>
      </w:r>
      <w:r w:rsidRPr="00114AD7">
        <w:rPr>
          <w:rFonts w:ascii="Times" w:hAnsi="Times"/>
        </w:rPr>
        <w:fldChar w:fldCharType="end"/>
      </w:r>
      <w:r w:rsidRPr="00114AD7">
        <w:rPr>
          <w:rFonts w:ascii="Times" w:hAnsi="Times"/>
        </w:rPr>
        <w:t xml:space="preserve">.  Similarly, the </w:t>
      </w:r>
      <w:r w:rsidRPr="00114AD7">
        <w:rPr>
          <w:rFonts w:ascii="Times" w:hAnsi="Times"/>
          <w:i/>
        </w:rPr>
        <w:t>Daphnia pulex</w:t>
      </w:r>
      <w:r w:rsidRPr="00114AD7">
        <w:rPr>
          <w:rFonts w:ascii="Times" w:hAnsi="Times"/>
        </w:rPr>
        <w:t xml:space="preserve"> genome </w:t>
      </w:r>
      <w:r w:rsidR="00357B4F" w:rsidRPr="00114AD7">
        <w:rPr>
          <w:rFonts w:ascii="Times" w:hAnsi="Times"/>
        </w:rPr>
        <w:t>contains</w:t>
      </w:r>
      <w:r w:rsidRPr="00114AD7">
        <w:rPr>
          <w:rFonts w:ascii="Times" w:hAnsi="Times"/>
        </w:rPr>
        <w:t xml:space="preserve"> expanded gene families for photoreactive/photoresponsive genes as well as high rates of gene duplication that could provide the basis for </w:t>
      </w:r>
      <w:r w:rsidR="00581C49" w:rsidRPr="00114AD7">
        <w:rPr>
          <w:rFonts w:ascii="Times" w:hAnsi="Times"/>
        </w:rPr>
        <w:t>quick evolutionary responses</w:t>
      </w:r>
      <w:r w:rsidRPr="00114AD7">
        <w:rPr>
          <w:rFonts w:ascii="Times" w:hAnsi="Times"/>
        </w:rPr>
        <w:t xml:space="preserve"> to environmental changes </w:t>
      </w:r>
      <w:r w:rsidRPr="00114AD7">
        <w:rPr>
          <w:rFonts w:ascii="Times" w:hAnsi="Times"/>
        </w:rPr>
        <w:fldChar w:fldCharType="begin" w:fldLock="1"/>
      </w:r>
      <w:r w:rsidRPr="00114AD7">
        <w:rPr>
          <w:rFonts w:ascii="Times" w:hAnsi="Times"/>
        </w:rPr>
        <w:instrText>ADDIN CSL_CITATION { "citationItems" : [ { "id" : "ITEM-1", "itemData" : { "DOI" : "10.1126/science.1197761", "ISSN" : "1095-9203", "PMID" : "21292972", "abstract" : "We describe the draft genome of the microcrustacean Daphnia pulex, which is only 200 megabases and contains at least 30,907 genes. The high gene count is a consequence of an elevated rate of gene duplication resulting in tandem gene clusters. More than a third of Daphnia's genes have no detectable homologs in any other available proteome, and the most amplified gene families are specific to the Daphnia lineage. The coexpansion of gene families interacting within metabolic pathways suggests that the maintenance of duplicated genes is not random, and the analysis of gene expression under different environmental conditions reveals that numerous paralogs acquire divergent expression patterns soon after duplication. Daphnia-specific genes, including many additional loci within sequenced regions that are otherwise devoid of annotations, are the most responsive genes to ecological challenges.", "author" : [ { "dropping-particle" : "", "family" : "Colbourne", "given" : "John K", "non-dropping-particle" : "", "parse-names" : false, "suffix" : "" }, { "dropping-particle" : "", "family" : "Pfrender", "given" : "Michael E", "non-dropping-particle" : "", "parse-names" : false, "suffix" : "" }, { "dropping-particle" : "", "family" : "Gilbert", "given" : "Donald", "non-dropping-particle" : "", "parse-names" : false, "suffix" : "" }, { "dropping-particle" : "", "family" : "Thomas", "given" : "W Kelley", "non-dropping-particle" : "", "parse-names" : false, "suffix" : "" }, { "dropping-particle" : "", "family" : "Tucker", "given" : "Abraham", "non-dropping-particle" : "", "parse-names" : false, "suffix" : "" }, { "dropping-particle" : "", "family" : "Oakley", "given" : "Todd H", "non-dropping-particle" : "", "parse-names" : false, "suffix" : "" }, { "dropping-particle" : "", "family" : "Tokishita", "given" : "Shinichi", "non-dropping-particle" : "", "parse-names" : false, "suffix" : "" }, { "dropping-particle" : "", "family" : "Aerts", "given" : "Andrea", "non-dropping-particle" : "", "parse-names" : false, "suffix" : "" }, { "dropping-particle" : "", "family" : "Arnold", "given" : "Georg J", "non-dropping-particle" : "", "parse-names" : false, "suffix" : "" }, { "dropping-particle" : "", "family" : "Basu", "given" : "Malay Kumar", "non-dropping-particle" : "", "parse-names" : false, "suffix" : "" }, { "dropping-particle" : "", "family" : "Bauer", "given" : "Darren J", "non-dropping-particle" : "", "parse-names" : false, "suffix" : "" }, { "dropping-particle" : "", "family" : "C\u00e1ceres", "given" : "Carla E", "non-dropping-particle" : "", "parse-names" : false, "suffix" : "" }, { "dropping-particle" : "", "family" : "Carmel", "given" : "Liran", "non-dropping-particle" : "", "parse-names" : false, "suffix" : "" }, { "dropping-particle" : "", "family" : "Casola", "given" : "Claudio", "non-dropping-particle" : "", "parse-names" : false, "suffix" : "" }, { "dropping-particle" : "", "family" : "Choi", "given" : "Jeong-Hyeon", "non-dropping-particle" : "", "parse-names" : false, "suffix" : "" }, { "dropping-particle" : "", "family" : "Detter", "given" : "John C", "non-dropping-particle" : "", "parse-names" : false, "suffix" : "" }, { "dropping-particle" : "", "family" : "Dong", "given" : "Qunfeng", "non-dropping-particle" : "", "parse-names" : false, "suffix" : "" }, { "dropping-particle" : "", "family" : "Dusheyko", "given" : "Serge", "non-dropping-particle" : "", "parse-names" : false, "suffix" : "" }, { "dropping-particle" : "", "family" : "Eads", "given" : "Brian D", "non-dropping-particle" : "", "parse-names" : false, "suffix" : "" }, { "dropping-particle" : "", "family" : "Fr\u00f6hlich", "given" : "Thomas", "non-dropping-particle" : "", "parse-names" : false, "suffix" : "" }, { "dropping-particle" : "", "family" : "Geiler-Samerotte", "given" : "Kerry a", "non-dropping-particle" : "", "parse-names" : false, "suffix" : "" }, { "dropping-particle" : "", "family" : "Gerlach", "given" : "Daniel", "non-dropping-particle" : "", "parse-names" : false, "suffix" : "" }, { "dropping-particle" : "", "family" : "Hatcher", "given" : "Phil", "non-dropping-particle" : "", "parse-names" : false, "suffix" : "" }, { "dropping-particle" : "", "family" : "Jogdeo", "given" : "Sanjuro", "non-dropping-particle" : "", "parse-names" : false, "suffix" : "" }, { "dropping-particle" : "", "family" : "Krijgsveld", "given" : "Jeroen", "non-dropping-particle" : "", "parse-names" : false, "suffix" : "" }, { "dropping-particle" : "V", "family" : "Kriventseva", "given" : "Evgenia", "non-dropping-particle" : "", "parse-names" : false, "suffix" : "" }, { "dropping-particle" : "", "family" : "K\u00fcltz", "given" : "Dietmar", "non-dropping-particle" : "", "parse-names" : false, "suffix" : "" }, { "dropping-particle" : "", "family" : "Laforsch", "given" : "Christian", "non-dropping-particle" : "", "parse-names" : false, "suffix" : "" }, { "dropping-particle" : "", "family" : "Lindquist", "given" : "Erika", "non-dropping-particle" : "", "parse-names" : false, "suffix" : "" }, { "dropping-particle" : "", "family" : "Lopez", "given" : "Jacqueline", "non-dropping-particle" : "", "parse-names" : false, "suffix" : "" }, { "dropping-particle" : "", "family" : "Manak", "given" : "J Robert", "non-dropping-particle" : "", "parse-names" : false, "suffix" : "" }, { "dropping-particle" : "", "family" : "Muller", "given" : "Jean", "non-dropping-particle" : "", "parse-names" : false, "suffix" : "" }, { "dropping-particle" : "", "family" : "Pangilinan", "given" : "Jasmyn", "non-dropping-particle" : "", "parse-names" : false, "suffix" : "" }, { "dropping-particle" : "", "family" : "Patwardhan", "given" : "Rupali P", "non-dropping-particle" : "", "parse-names" : false, "suffix" : "" }, { "dropping-particle" : "", "family" : "Pitluck", "given" : "Samuel", "non-dropping-particle" : "", "parse-names" : false, "suffix" : "" }, { "dropping-particle" : "", "family" : "Pritham", "given" : "Ellen J", "non-dropping-particle" : "", "parse-names" : false, "suffix" : "" }, { "dropping-particle" : "", "family" : "Rechtsteiner", "given" : "Andreas", "non-dropping-particle" : "", "parse-names" : false, "suffix" : "" }, { "dropping-particle" : "", "family" : "Rho", "given" : "Mina", "non-dropping-particle" : "", "parse-names" : false, "suffix" : "" }, { "dropping-particle" : "", "family" : "Rogozin", "given" : "Igor B", "non-dropping-particle" : "", "parse-names" : false, "suffix" : "" }, { "dropping-particle" : "", "family" : "Sakarya", "given" : "Onur", "non-dropping-particle" : "", "parse-names" : false, "suffix" : "" }, { "dropping-particle" : "", "family" : "Salamov", "given" : "Asaf", "non-dropping-particle" : "", "parse-names" : false, "suffix" : "" }, { "dropping-particle" : "", "family" : "Schaack", "given" : "Sarah", "non-dropping-particle" : "", "parse-names" : false, "suffix" : "" }, { "dropping-particle" : "", "family" : "Shapiro", "given" : "Harris", "non-dropping-particle" : "", "parse-names" : false, "suffix" : "" }, { "dropping-particle" : "", "family" : "Shiga", "given" : "Yasuhiro", "non-dropping-particle" : "", "parse-names" : false, "suffix" : "" }, { "dropping-particle" : "", "family" : "Skalitzky", "given" : "Courtney", "non-dropping-particle" : "", "parse-names" : false, "suffix" : "" }, { "dropping-particle" : "", "family" : "Smith", "given" : "Zachary", "non-dropping-particle" : "", "parse-names" : false, "suffix" : "" }, { "dropping-particle" : "", "family" : "Souvorov", "given" : "Alexander", "non-dropping-particle" : "", "parse-names" : false, "suffix" : "" }, { "dropping-particle" : "", "family" : "Sung", "given" : "Way", "non-dropping-particle" : "", "parse-names" : false, "suffix" : "" }, { "dropping-particle" : "", "family" : "Tang", "given" : "Zuojian", "non-dropping-particle" : "", "parse-names" : false, "suffix" : "" }, { "dropping-particle" : "", "family" : "Tsuchiya", "given" : "Dai", "non-dropping-particle" : "", "parse-names" : false, "suffix" : "" }, { "dropping-particle" : "", "family" : "Tu", "given" : "Hank", "non-dropping-particle" : "", "parse-names" : false, "suffix" : "" }, { "dropping-particle" : "", "family" : "Vos", "given" : "Harmjan", "non-dropping-particle" : "", "parse-names" : false, "suffix" : "" }, { "dropping-particle" : "", "family" : "Wang", "given" : "Mei", "non-dropping-particle" : "", "parse-names" : false, "suffix" : "" }, { "dropping-particle" : "", "family" : "Wolf", "given" : "Yuri I", "non-dropping-particle" : "", "parse-names" : false, "suffix" : "" }, { "dropping-particle" : "", "family" : "Yamagata", "given" : "Hideo", "non-dropping-particle" : "", "parse-names" : false, "suffix" : "" }, { "dropping-particle" : "", "family" : "Yamada", "given" : "Takuji", "non-dropping-particle" : "", "parse-names" : false, "suffix" : "" }, { "dropping-particle" : "", "family" : "Ye", "given" : "Yuzhen", "non-dropping-particle" : "", "parse-names" : false, "suffix" : "" }, { "dropping-particle" : "", "family" : "Shaw", "given" : "Joseph R", "non-dropping-particle" : "", "parse-names" : false, "suffix" : "" }, { "dropping-particle" : "", "family" : "Andrews", "given" : "Justen", "non-dropping-particle" : "", "parse-names" : false, "suffix" : "" }, { "dropping-particle" : "", "family" : "Crease", "given" : "Teresa J", "non-dropping-particle" : "", "parse-names" : false, "suffix" : "" }, { "dropping-particle" : "", "family" : "Tang", "given" : "Haixu", "non-dropping-particle" : "", "parse-names" : false, "suffix" : "" }, { "dropping-particle" : "", "family" : "Lucas", "given" : "Susan M", "non-dropping-particle" : "", "parse-names" : false, "suffix" : "" }, { "dropping-particle" : "", "family" : "Robertson", "given" : "Hugh M", "non-dropping-particle" : "", "parse-names" : false, "suffix" : "" }, { "dropping-particle" : "", "family" : "Bork", "given" : "Peer", "non-dropping-particle" : "", "parse-names" : false, "suffix" : "" }, { "dropping-particle" : "V", "family" : "Koonin", "given" : "Eugene", "non-dropping-particle" : "", "parse-names" : false, "suffix" : "" }, { "dropping-particle" : "", "family" : "Zdobnov", "given" : "Evgeny M", "non-dropping-particle" : "", "parse-names" : false, "suffix" : "" }, { "dropping-particle" : "V", "family" : "Grigoriev", "given" : "Igor", "non-dropping-particle" : "", "parse-names" : false, "suffix" : "" }, { "dropping-particle" : "", "family" : "Lynch", "given" : "Michael", "non-dropping-particle" : "", "parse-names" : false, "suffix" : "" }, { "dropping-particle" : "", "family" : "Boore", "given" : "Jeffrey L", "non-dropping-particle" : "", "parse-names" : false, "suffix" : "" } ], "container-title" : "Science (New York, N.Y.)", "id" : "ITEM-1", "issue" : "6017", "issued" : { "date-parts" : [ [ "2011", "2", "4" ] ] }, "page" : "555-61", "title" : "The ecoresponsive genome of Daphnia pulex.", "type" : "article-journal", "volume" : "331" }, "uris" : [ "http://www.mendeley.com/documents/?uuid=d9e79a91-d9f2-4e77-8a72-7fe6f020f75d" ] } ], "mendeley" : { "previouslyFormattedCitation" : "(Colbourne et al., 2011)"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(Colbourne et al., 2011)</w:t>
      </w:r>
      <w:r w:rsidRPr="00114AD7">
        <w:rPr>
          <w:rFonts w:ascii="Times" w:hAnsi="Times"/>
        </w:rPr>
        <w:fldChar w:fldCharType="end"/>
      </w:r>
      <w:r w:rsidRPr="00114AD7">
        <w:rPr>
          <w:rFonts w:ascii="Times" w:hAnsi="Times"/>
        </w:rPr>
        <w:t xml:space="preserve">.  </w:t>
      </w:r>
    </w:p>
    <w:p w14:paraId="1B4DAAAA" w14:textId="213F65A1" w:rsidR="006315D6" w:rsidRPr="00114AD7" w:rsidRDefault="006315D6" w:rsidP="006315D6">
      <w:pPr>
        <w:spacing w:line="360" w:lineRule="auto"/>
        <w:ind w:firstLine="720"/>
        <w:rPr>
          <w:rFonts w:ascii="Times" w:hAnsi="Times"/>
        </w:rPr>
      </w:pPr>
      <w:r w:rsidRPr="00114AD7">
        <w:rPr>
          <w:rFonts w:ascii="Times" w:hAnsi="Times"/>
        </w:rPr>
        <w:t>Transcriptomics, or high throughput sequencing of mRNA, can also illustrate evolutionary-scale changes since single nucleotide polymorphisms (SNP</w:t>
      </w:r>
      <w:r w:rsidR="00357B4F" w:rsidRPr="00114AD7">
        <w:rPr>
          <w:rFonts w:ascii="Times" w:hAnsi="Times"/>
        </w:rPr>
        <w:t>s</w:t>
      </w:r>
      <w:r w:rsidRPr="00114AD7">
        <w:rPr>
          <w:rFonts w:ascii="Times" w:hAnsi="Times"/>
        </w:rPr>
        <w:t xml:space="preserve">) are found at the DNA and mRNA levels.  SNP frequency data at the transcriptomic level were used to </w:t>
      </w:r>
      <w:r w:rsidR="005C024F" w:rsidRPr="00114AD7">
        <w:rPr>
          <w:rFonts w:ascii="Times" w:hAnsi="Times"/>
        </w:rPr>
        <w:t>detect</w:t>
      </w:r>
      <w:r w:rsidRPr="00114AD7">
        <w:rPr>
          <w:rFonts w:ascii="Times" w:hAnsi="Times"/>
        </w:rPr>
        <w:t xml:space="preserve"> an adaptive response</w:t>
      </w:r>
      <w:r w:rsidR="005C024F" w:rsidRPr="00114AD7">
        <w:rPr>
          <w:rFonts w:ascii="Times" w:hAnsi="Times"/>
        </w:rPr>
        <w:t xml:space="preserve"> to elevated </w:t>
      </w:r>
      <w:r w:rsidR="005C024F" w:rsidRPr="00114AD7">
        <w:rPr>
          <w:rFonts w:ascii="Times" w:hAnsi="Times"/>
          <w:i/>
        </w:rPr>
        <w:t>p</w:t>
      </w:r>
      <w:r w:rsidR="005C024F" w:rsidRPr="00114AD7">
        <w:rPr>
          <w:rFonts w:ascii="Times" w:hAnsi="Times"/>
        </w:rPr>
        <w:t>CO</w:t>
      </w:r>
      <w:r w:rsidR="005C024F" w:rsidRPr="00114AD7">
        <w:rPr>
          <w:rFonts w:ascii="Times" w:hAnsi="Times"/>
          <w:vertAlign w:val="subscript"/>
        </w:rPr>
        <w:t>2</w:t>
      </w:r>
      <w:r w:rsidR="005C024F" w:rsidRPr="00114AD7">
        <w:rPr>
          <w:rFonts w:ascii="Times" w:hAnsi="Times"/>
        </w:rPr>
        <w:t xml:space="preserve"> in sea urchin larvae</w:t>
      </w:r>
      <w:r w:rsidRPr="00114AD7">
        <w:rPr>
          <w:rFonts w:ascii="Times" w:hAnsi="Times"/>
        </w:rPr>
        <w:t xml:space="preserve">, specifically in genes involved in lipid metabolism, ion homeostasis, cell signaling, and protein modifications </w:t>
      </w:r>
      <w:r w:rsidRPr="00114AD7">
        <w:rPr>
          <w:rFonts w:ascii="Times" w:hAnsi="Times"/>
        </w:rPr>
        <w:fldChar w:fldCharType="begin" w:fldLock="1"/>
      </w:r>
      <w:r w:rsidRPr="00114AD7">
        <w:rPr>
          <w:rFonts w:ascii="Times" w:hAnsi="Times"/>
        </w:rPr>
        <w:instrText>ADDIN CSL_CITATION { "citationItems" : [ { "id" : "ITEM-1", "itemData" : { "DOI" : "10.1073/pnas.1220673110", "ISBN" : "1220673110", "ISSN" : "1091-6490", "PMID" : "23569232", "abstract" : "Rising atmospheric carbon dioxide (CO2) conditions are driving unprecedented changes in seawater chemistry, resulting in reduced pH and carbonate ion concentrations in the Earth's oceans. This ocean acidification has negative but variable impacts on individual performance in many marine species. However, little is known about the adaptive capacity of species to respond to an acidified ocean, and, as a result, predictions regarding future ecosystem responses remain incomplete. Here we demonstrate that ocean acidification generates striking patterns of genome-wide selection in purple sea urchins (Strongylocentrotus purpuratus) cultured under different CO2 levels. We examined genetic change at 19,493 loci in larvae from seven adult populations cultured under realistic future CO2 levels. Although larval development and morphology showed little response to elevated CO2, we found substantial allelic change in 40 functional classes of proteins involving hundreds of loci. Pronounced genetic changes, including excess amino acid replacements, were detected in all populations and occurred in genes for biomineralization, lipid metabolism, and ion homeostasis--gene classes that build skeletons and interact in pH regulation. Such genetic change represents a neglected and important impact of ocean acidification that may influence populations that show few outward signs of response to acidification. Our results demonstrate the capacity for rapid evolution in the face of ocean acidification and show that standing genetic variation could be a reservoir of resilience to climate change in this coastal upwelling ecosystem. However, effective response to strong natural selection demands large population sizes and may be limited in species impacted by other environmental stressors.", "author" : [ { "dropping-particle" : "", "family" : "Pespeni", "given" : "Melissa H", "non-dropping-particle" : "", "parse-names" : false, "suffix" : "" }, { "dropping-particle" : "", "family" : "Sanford", "given" : "Eric", "non-dropping-particle" : "", "parse-names" : false, "suffix" : "" }, { "dropping-particle" : "", "family" : "Gaylord", "given" : "Brian", "non-dropping-particle" : "", "parse-names" : false, "suffix" : "" }, { "dropping-particle" : "", "family" : "Hill", "given" : "Tessa M", "non-dropping-particle" : "", "parse-names" : false, "suffix" : "" }, { "dropping-particle" : "", "family" : "Hosfelt", "given" : "Jessica D", "non-dropping-particle" : "", "parse-names" : false, "suffix" : "" }, { "dropping-particle" : "", "family" : "Jaris", "given" : "Hannah K", "non-dropping-particle" : "", "parse-names" : false, "suffix" : "" }, { "dropping-particle" : "", "family" : "LaVigne", "given" : "Mich\u00e8le", "non-dropping-particle" : "", "parse-names" : false, "suffix" : "" }, { "dropping-particle" : "", "family" : "Lenz", "given" : "Elizabeth a", "non-dropping-particle" : "", "parse-names" : false, "suffix" : "" }, { "dropping-particle" : "", "family" : "Russell", "given" : "Ann D", "non-dropping-particle" : "", "parse-names" : false, "suffix" : "" }, { "dropping-particle" : "", "family" : "Young", "given" : "Megan K", "non-dropping-particle" : "", "parse-names" : false, "suffix" : "" }, { "dropping-particle" : "", "family" : "Palumbi", "given" : "Stephen R", "non-dropping-particle" : "", "parse-names" : false, "suffix" : "" } ], "container-title" : "Proceedings of the National Academy of Sciences of the United States of America", "id" : "ITEM-1", "issue" : "17", "issued" : { "date-parts" : [ [ "2013", "4", "23" ] ] }, "page" : "6937-42", "title" : "Evolutionary change during experimental ocean acidification.", "type" : "article-journal", "volume" : "110" }, "uris" : [ "http://www.mendeley.com/documents/?uuid=0d298546-76ae-4a04-b2d2-6b1cfee5b5cf" ] } ], "mendeley" : { "previouslyFormattedCitation" : "(Pespeni et al., 2013)"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(Pespeni et al., 2013)</w:t>
      </w:r>
      <w:r w:rsidRPr="00114AD7">
        <w:rPr>
          <w:rFonts w:ascii="Times" w:hAnsi="Times"/>
        </w:rPr>
        <w:fldChar w:fldCharType="end"/>
      </w:r>
      <w:r w:rsidRPr="00114AD7">
        <w:rPr>
          <w:rFonts w:ascii="Times" w:hAnsi="Times"/>
        </w:rPr>
        <w:t xml:space="preserve">.  Gene expression data can also elucidate functional molecular responses to an environmental change.   In </w:t>
      </w:r>
      <w:r w:rsidRPr="00114AD7">
        <w:rPr>
          <w:rFonts w:ascii="Times" w:hAnsi="Times"/>
          <w:i/>
        </w:rPr>
        <w:t>C. gigas</w:t>
      </w:r>
      <w:r w:rsidRPr="00114AD7">
        <w:rPr>
          <w:rFonts w:ascii="Times" w:hAnsi="Times"/>
        </w:rPr>
        <w:t xml:space="preserve">, </w:t>
      </w:r>
      <w:r w:rsidR="00581C49" w:rsidRPr="00114AD7">
        <w:rPr>
          <w:rFonts w:ascii="Times" w:hAnsi="Times"/>
        </w:rPr>
        <w:t>mRNA</w:t>
      </w:r>
      <w:r w:rsidRPr="00114AD7">
        <w:rPr>
          <w:rFonts w:ascii="Times" w:hAnsi="Times"/>
        </w:rPr>
        <w:t xml:space="preserve"> sequencing revealed that the oyster transcriptomic response to elevated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differed between different temperatures </w:t>
      </w:r>
      <w:r w:rsidRPr="00114AD7">
        <w:rPr>
          <w:rFonts w:ascii="Times" w:hAnsi="Times"/>
        </w:rPr>
        <w:fldChar w:fldCharType="begin" w:fldLock="1"/>
      </w:r>
      <w:r w:rsidRPr="00114AD7">
        <w:rPr>
          <w:rFonts w:ascii="Times" w:hAnsi="Times"/>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(Clark et al., 2013)</w:t>
      </w:r>
      <w:r w:rsidRPr="00114AD7">
        <w:rPr>
          <w:rFonts w:ascii="Times" w:hAnsi="Times"/>
        </w:rPr>
        <w:fldChar w:fldCharType="end"/>
      </w:r>
      <w:r w:rsidRPr="00114AD7">
        <w:rPr>
          <w:rFonts w:ascii="Times" w:hAnsi="Times"/>
        </w:rPr>
        <w:t xml:space="preserve">. </w:t>
      </w:r>
      <w:r w:rsidR="001955DD" w:rsidRPr="00114AD7">
        <w:rPr>
          <w:rFonts w:ascii="Times" w:hAnsi="Times"/>
        </w:rPr>
        <w:t xml:space="preserve">  A tag sequencing approach in </w:t>
      </w:r>
      <w:r w:rsidR="001955DD" w:rsidRPr="00114AD7">
        <w:rPr>
          <w:rFonts w:ascii="Times" w:hAnsi="Times"/>
          <w:i/>
        </w:rPr>
        <w:t xml:space="preserve">C. gigas </w:t>
      </w:r>
      <w:r w:rsidR="001955DD" w:rsidRPr="00114AD7">
        <w:rPr>
          <w:rFonts w:ascii="Times" w:hAnsi="Times"/>
        </w:rPr>
        <w:t>was used to identify genes responsible for different growth patterns between inbred and hybrid oysters, leading towards a better characterization of the physiology behind growth rate (Hedgecock et al. 2006</w:t>
      </w:r>
      <w:r w:rsidR="003F561B" w:rsidRPr="00114AD7">
        <w:rPr>
          <w:rFonts w:ascii="Times" w:hAnsi="Times"/>
        </w:rPr>
        <w:t>; Meyer and Manahan 2010</w:t>
      </w:r>
      <w:r w:rsidR="001955DD" w:rsidRPr="00114AD7">
        <w:rPr>
          <w:rFonts w:ascii="Times" w:hAnsi="Times"/>
        </w:rPr>
        <w:t>).</w:t>
      </w:r>
      <w:r w:rsidRPr="00114AD7">
        <w:rPr>
          <w:rFonts w:ascii="Times" w:hAnsi="Times"/>
        </w:rPr>
        <w:t xml:space="preserve"> </w:t>
      </w:r>
      <w:r w:rsidR="00CF48FE" w:rsidRPr="00114AD7">
        <w:rPr>
          <w:rFonts w:ascii="Times" w:hAnsi="Times"/>
        </w:rPr>
        <w:t xml:space="preserve"> Targeted amplification of </w:t>
      </w:r>
      <w:r w:rsidR="00977E95" w:rsidRPr="00114AD7">
        <w:rPr>
          <w:rFonts w:ascii="Times" w:hAnsi="Times"/>
        </w:rPr>
        <w:t>cDNA of amino acid transporters in larval and adult Antarctic echinoderms revealed the importance of amino acid transport across all life stages (Applebaum et al. 2013)</w:t>
      </w:r>
      <w:r w:rsidR="00CF48FE" w:rsidRPr="00114AD7">
        <w:rPr>
          <w:rFonts w:ascii="Times" w:hAnsi="Times"/>
        </w:rPr>
        <w:t>, providing insight into energy acquisition from the environment</w:t>
      </w:r>
      <w:r w:rsidR="00977E95" w:rsidRPr="00114AD7">
        <w:rPr>
          <w:rFonts w:ascii="Times" w:hAnsi="Times"/>
        </w:rPr>
        <w:t>.</w:t>
      </w:r>
    </w:p>
    <w:p w14:paraId="0D98EA11" w14:textId="4977538F" w:rsidR="006315D6" w:rsidRPr="00114AD7" w:rsidRDefault="006315D6" w:rsidP="006315D6">
      <w:pPr>
        <w:spacing w:line="360" w:lineRule="auto"/>
        <w:ind w:firstLine="720"/>
        <w:rPr>
          <w:rFonts w:ascii="Times" w:hAnsi="Times"/>
        </w:rPr>
      </w:pPr>
      <w:r w:rsidRPr="00114AD7">
        <w:rPr>
          <w:rFonts w:ascii="Times" w:hAnsi="Times"/>
        </w:rPr>
        <w:t xml:space="preserve">Lastly, proteomics provide insight into the truly functional changes that occur at the molecular level in response to different habitats or environmental change.  Proteins are functional molecules that effect changes at the phenotypic level (whereas changes in gene expression may not always translate into changes in protein expression).  Proteomics have been used to reveal physiological changes that underlie adaptation to different environmental salinities in European whitefish </w:t>
      </w:r>
      <w:r w:rsidRPr="00114AD7">
        <w:rPr>
          <w:rFonts w:ascii="Times" w:hAnsi="Times"/>
        </w:rPr>
        <w:fldChar w:fldCharType="begin" w:fldLock="1"/>
      </w:r>
      <w:r w:rsidRPr="00114AD7">
        <w:rPr>
          <w:rFonts w:ascii="Times" w:hAnsi="Times"/>
        </w:rPr>
        <w:instrText>ADDIN CSL_CITATION { "citationItems" : [ { "id" : "ITEM-1", "itemData" : { "DOI" : "10.1111/j.1365-294X.2012.05553.x", "ISSN" : "1365-294X", "PMID" : "22486940", "abstract" : "Osmoregulation is a vital physiological function for fish, as it helps maintain a stable intracellular concentration of ions in environments of variable salinities. We focused on a primarily freshwater species, the European whitefish (Coregonus lavaretus), to investigate the molecular mechanisms underlying salinity tolerance and examine whether these mechanisms differ between genetically similar populations that spawn in freshwater vs. brackishwater environments. A common garden experiment involving 27 families in two populations and five salinity treatments together with a large-scale, high-resolution mass spectrometry experiment that quantified 1500 proteins was conducted to assess phenotypic and proteomic responses during early development, from fertilization until hatching, in the studied populations. The populations displayed drastically different phenotypic and proteomic responses to salinity. Freshwater-spawning whitefish showed a significantly higher mortality rate in higher salinity treatments. Calcium, an ion involved in osmotic stress sensing, had a central role in the observed proteomic responses. Brackishwater-spawning fish were capable of viable osmoregulation, which was modulated by cortisol, an important seawater-adaptation hormone in teleost fish. Several proteins were identified to play key roles in osmoregulation, most importantly a highly conserved cytokine, tumour necrosis factor, whereas calcium receptor activities were associated with salinity adaptation. These results imply that individuals from these populations are most likely adapted to their local environments, even though the baseline level of genetic divergence between them is low (F(ST)=0.049). They also provide clues for choosing candidate loci for studying the molecular basis of salinity adaptation in other species. Further, our approach provides an example of how proteomic methods can be successfully used to obtain novel insights into the molecular mechanisms behind adaptation in non-model organism.", "author" : [ { "dropping-particle" : "", "family" : "Papakostas", "given" : "Spiros", "non-dropping-particle" : "", "parse-names" : false, "suffix" : "" }, { "dropping-particle" : "", "family" : "Vasem\u00e4gi", "given" : "Anti", "non-dropping-particle" : "", "parse-names" : false, "suffix" : "" }, { "dropping-particle" : "", "family" : "V\u00e4h\u00e4", "given" : "Juha-Pekka", "non-dropping-particle" : "", "parse-names" : false, "suffix" : "" }, { "dropping-particle" : "", "family" : "Himberg", "given" : "Mikael", "non-dropping-particle" : "", "parse-names" : false, "suffix" : "" }, { "dropping-particle" : "", "family" : "Peil", "given" : "Lauri", "non-dropping-particle" : "", "parse-names" : false, "suffix" : "" }, { "dropping-particle" : "", "family" : "Primmer", "given" : "Craig R", "non-dropping-particle" : "", "parse-names" : false, "suffix" : "" } ], "container-title" : "Molecular ecology", "id" : "ITEM-1", "issue" : "14", "issued" : { "date-parts" : [ [ "2012", "7" ] ] }, "page" : "3516-30", "title" : "A proteomics approach reveals divergent molecular responses to salinity in populations of European whitefish (Coregonus lavaretus).", "type" : "article-journal", "volume" : "21" }, "uris" : [ "http://www.mendeley.com/documents/?uuid=86f79b71-b689-4f63-8b4e-0234720a9416" ] } ], "mendeley" : { "previouslyFormattedCitation" : "(Papakostas et al., 2012)"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(Papakostas et al., 2012)</w:t>
      </w:r>
      <w:r w:rsidRPr="00114AD7">
        <w:rPr>
          <w:rFonts w:ascii="Times" w:hAnsi="Times"/>
        </w:rPr>
        <w:fldChar w:fldCharType="end"/>
      </w:r>
      <w:r w:rsidRPr="00114AD7">
        <w:rPr>
          <w:rFonts w:ascii="Times" w:hAnsi="Times"/>
        </w:rPr>
        <w:t xml:space="preserve">, proteins that are associated with specific behavioral traits in the honey bee </w:t>
      </w:r>
      <w:r w:rsidRPr="00114AD7">
        <w:rPr>
          <w:rFonts w:ascii="Times" w:hAnsi="Times"/>
        </w:rPr>
        <w:fldChar w:fldCharType="begin" w:fldLock="1"/>
      </w:r>
      <w:r w:rsidRPr="00114AD7">
        <w:rPr>
          <w:rFonts w:ascii="Times" w:hAnsi="Times"/>
        </w:rPr>
        <w:instrText>ADDIN CSL_CITATION { "citationItems" : [ { "id" : "ITEM-1", "itemData" : { "DOI" : "10.1186/gb-2012-13-9-r81", "ISSN" : "1465-6914", "PMID" : "23021491", "abstract" : "BACKGROUND: Disease is a major factor driving the evolution of many organisms. In honey bees, selection for social behavioral responses is the primary adaptive process facilitating disease resistance. One such process, hygienic behavior, enables bees to resist multiple diseases, including the damaging parasitic mite Varroa destructor. The genetic elements and biochemical factors that drive the expression of these adaptations are currently unknown. Proteomics provides a tool to identify proteins that control behavioral processes, and these proteins can be used as biomarkers to aid identification of disease tolerant colonies.\n\nRESULTS: We sampled a large cohort of commercial queen lineages, recording overall mite infestation, hygiene, and the specific hygienic response to V. destructor. We performed proteome-wide correlation analyses in larval integument and adult antennae, identifying several proteins highly predictive of behavior and reduced hive infestation. In the larva, response to wounding was identified as a key adaptive process leading to reduced infestation, and chitin biosynthesis and immune responses appear to represent important disease resistant adaptations. The speed of hygienic behavior may be underpinned by changes in the antenna proteome, and chemosensory and neurological processes could also provide specificity for detection of V. destructor in antennae.\n\nCONCLUSIONS: Our results provide, for the first time, some insight into how complex behavioural adaptations manifest in the proteome of honey bees. The most important biochemical correlations provide clues as to the underlying molecular mechanisms of social and innate immunity of honey bees. Such changes are indicative of potential divergence in processes controlling the hive-worker maturation.", "author" : [ { "dropping-particle" : "", "family" : "Parker", "given" : "Robert", "non-dropping-particle" : "", "parse-names" : false, "suffix" : "" }, { "dropping-particle" : "", "family" : "Guarna", "given" : "M Marta", "non-dropping-particle" : "", "parse-names" : false, "suffix" : "" }, { "dropping-particle" : "", "family" : "Melathopoulos", "given" : "Andony P", "non-dropping-particle" : "", "parse-names" : false, "suffix" : "" }, { "dropping-particle" : "", "family" : "Moon", "given" : "Kyung-Mee", "non-dropping-particle" : "", "parse-names" : false, "suffix" : "" }, { "dropping-particle" : "", "family" : "White", "given" : "Rick", "non-dropping-particle" : "", "parse-names" : false, "suffix" : "" }, { "dropping-particle" : "", "family" : "Huxter", "given" : "Elizabeth", "non-dropping-particle" : "", "parse-names" : false, "suffix" : "" }, { "dropping-particle" : "", "family" : "Pernal", "given" : "Stephen F", "non-dropping-particle" : "", "parse-names" : false, "suffix" : "" }, { "dropping-particle" : "", "family" : "Foster", "given" : "Leonard J", "non-dropping-particle" : "", "parse-names" : false, "suffix" : "" } ], "container-title" : "Genome biology", "id" : "ITEM-1", "issue" : "9", "issued" : { "date-parts" : [ [ "2012", "1" ] ] }, "page" : "R81", "title" : "Correlation of proteome-wide changes with social immunity behaviors provides insight into resistance to the parasitic mite, Varroa destructor, in the honey bee (Apis mellifera).", "type" : "article-journal", "volume" : "13" }, "uris" : [ "http://www.mendeley.com/documents/?uuid=b4a33ae8-0665-4379-85b6-00c60c18eb88" ] } ], "mendeley" : { "previouslyFormattedCitation" : "(R. Parker et al., 2012)"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(R. Parker et al., 2012)</w:t>
      </w:r>
      <w:r w:rsidRPr="00114AD7">
        <w:rPr>
          <w:rFonts w:ascii="Times" w:hAnsi="Times"/>
        </w:rPr>
        <w:fldChar w:fldCharType="end"/>
      </w:r>
      <w:r w:rsidRPr="00114AD7">
        <w:rPr>
          <w:rFonts w:ascii="Times" w:hAnsi="Times"/>
        </w:rPr>
        <w:t xml:space="preserve">, as well as general changes in overall protein expression in response to a specific environmental stress </w:t>
      </w:r>
      <w:r w:rsidRPr="00114AD7">
        <w:rPr>
          <w:rFonts w:ascii="Times" w:hAnsi="Times"/>
        </w:rPr>
        <w:fldChar w:fldCharType="begin" w:fldLock="1"/>
      </w:r>
      <w:r w:rsidRPr="00114AD7">
        <w:rPr>
          <w:rFonts w:ascii="Times" w:hAnsi="Times"/>
        </w:rP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"id" : "ITEM-2",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"ITEM-2", "issue" : "3", "issued" : { "date-parts" : [ [ "2011", "9" ] ] }, "page" : "310-21", "publisher" : "Elsevier Inc.", "title" : "Response of larval barnacle proteome to CO(2)-driven seawater acidification.", "type" : "article-journal", "volume" : "6" }, "uris" : [ "http://www.mendeley.com/documents/?uuid=e4598cec-fd29-45a8-91ba-7f11e97795cf" ] }, { "id" : "ITEM-3", "itemData" : { "author" : [ { "dropping-particle" : "", "family" : "Parker", "given" : "Laura M.", "non-dropping-particle" : "", "parse-names" : false, "suffix" : "" }, { "dropping-particle" : "", "family" : "Ross", "given" : "Pauline M.", "non-dropping-particle" : "", "parse-names" : false, "suffix" : "" }, { "dropping-particle" : "", "family" : "Raftos", "given" : "David", "non-dropping-particle" : "", "parse-names" : false, "suffix" : "" }, { "dropping-particle" : "", "family" : "Thompson", "given" : "Emma", "non-dropping-particle" : "", "parse-names" : false, "suffix" : "" }, { "dropping-particle" : "", "family" : "O'Connor", "given" : "Wayne A.", "non-dropping-particle" : "", "parse-names" : false, "suffix" : "" } ], "container-title" : "Australian zoologist", "id" : "ITEM-3", "issue" : "4", "issued" : { "date-parts" : [ [ "2011" ] ] }, "page" : "1011-1023", "title" : "The proteomic response of larvae of the Sydney rock oyster, Saccostrea glomerata to elevated pCO2", "type" : "article-journal", "volume" : "35" }, "uris" : [ "http://www.mendeley.com/documents/?uuid=466e3b22-1a89-420f-b57e-51175c62337d" ] }, { "id" : "ITEM-4", "itemData" : { "DOI" : "10.1016/j.cbd.2011.08.002", "ISSN" : "1878-0407", "PMID" : "21914563", "abstract" : "Intertidal blue mussels display physiological adaptations to emersion-submersion cycle that can be impacted by response to chemicals. In order to study the interference of cellular response to pollutants on intertidal physiology, we analysed proteomic (2-DE) responses in gills of mussels exposed for 14 days to regular emersion (intertidal condition) or continuous submersion (subtidal condition) and to a mixture (B[a]P/phenantrene) of polycyclic aromatic hydrocarbons (PAHs). Antioxidant activities were measured as general stress markers. In clean context, emersion generated several over-expressions of proteins mainly involved in cytoskeleton, chaperoning, energetic metabolism and transcription regulation. Mussels exposed to PAHs showed equivalent accumulation levels of contaminants in both physiological conditions but an increased GST activity specifically in intertidal context, highlighting the high degree of stress underwent in this group, as well as over-expressions of Cu/Zn SOD and stress proteins in subtidal context. Presence of contaminants partly impacted the response to emersion: cytoskeletal rearrangements and energetic adjustments were mostly maintained whereas stress response was dramatically altered. These findings highlight the potential adverse effects of toxicants on physiological adjustments linked to air-exposure, thus suggesting to take into account in the evaluation of environmental risk the multiplicity of stresses that wild animals are likely to encounter.", "author" : [ { "dropping-particle" : "", "family" : "Letendre", "given" : "Julie", "non-dropping-particle" : "", "parse-names" : false, "suffix" : "" }, { "dropping-particle" : "", "family" : "Dupont-Rouzeyrol", "given" : "Myrielle", "non-dropping-particle" : "", "parse-names" : false, "suffix" : "" }, { "dropping-particle" : "", "family" : "Hanquet", "given" : "Anne-Caroline", "non-dropping-particle" : "", "parse-names" : false, "suffix" : "" }, { "dropping-particle" : "", "family" : "Durand", "given" : "Fabrice", "non-dropping-particle" : "", "parse-names" : false, "suffix" : "" }, { "dropping-particle" : "", "family" : "Budzinski", "given" : "H\u00e9l\u00e8ne", "non-dropping-particle" : "", "parse-names" : false, "suffix" : "" }, { "dropping-particle" : "", "family" : "Chan", "given" : "Philippe", "non-dropping-particle" : "", "parse-names" : false, "suffix" : "" }, { "dropping-particle" : "", "family" : "Vaudry", "given" : "David", "non-dropping-particle" : "", "parse-names" : false, "suffix" : "" }, { "dropping-particle" : "", "family" : "Rocher", "given" : "B\u00e9atrice", "non-dropping-particle" : "", "parse-names" : false, "suffix" : "" } ], "container-title" : "Comparative biochemistry and physiology. Part D, Genomics &amp; proteomics", "id" : "ITEM-4", "issue" : "4", "issued" : { "date-parts" : [ [ "2011", "12" ] ] }, "page" : "357-69", "publisher" : "Elsevier Inc.", "title" : "Impact of toxicant exposure on the proteomic response to intertidal condition in Mytilus edulis.", "type" : "article-journal", "volume" : "6" }, "uris" : [ "http://www.mendeley.com/documents/?uuid=33c1c7cf-6a8e-4286-8ccb-211b85431ca6" ] }, { "id" : "ITEM-5",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"ITEM-5",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"id" : "ITEM-6", "itemData" : { "DOI" : "10.1371/journal.pone.0061868", "ISSN" : "1932-6203", "PMID" : "23593500", "abstract" : "Ocean acidification due to rising atmospheric CO2 is expected to affect the physiology of important calcifying marine organisms, but the nature and magnitude of change is yet to be established. In coccolithophores, different species and strains display varying calcification responses to ocean acidification, but the underlying biochemical properties remain unknown. We employed an approach combining tandem mass-spectrometry with isobaric tagging (iTRAQ) and multiple database searching to identify proteins that were differentially expressed in cells of the marine coccolithophore species Emiliania huxleyi (strain NZEH) between two CO2 conditions: 395 (\u223ccurrent day) and \u223c1340 p.p.m.v. CO2. Cells exposed to the higher CO2 condition contained more cellular particulate inorganic carbon (CaCO3) and particulate organic nitrogen and carbon than those maintained in present-day conditions. These results are linked with the observation that cells grew slower under elevated CO2, indicating cell cycle disruption. Under high CO2 conditions, coccospheres were larger and cells possessed bigger coccoliths that did not show any signs of malformation compared to those from cells grown under present-day CO2 levels. No differences in calcification rate, particulate organic carbon production or cellular organic carbon: nitrogen ratios were observed. Results were not related to nutrient limitation or acclimation status of cells. At least 46 homologous protein groups from a variety of functional processes were quantified in these experiments, of which four (histones H2A, H3, H4 and a chloroplastic 30S ribosomal protein S7) showed down-regulation in all replicates exposed to high CO2, perhaps reflecting the decrease in growth rate. We present evidence of cellular stress responses but proteins associated with many key metabolic processes remained unaltered. Our results therefore suggest that this E. huxleyi strain possesses some acclimation mechanisms to tolerate future CO2 scenarios, although the observed decline in growth rate may be an overriding factor affecting the success of this ecotype in future oceans.", "author" : [ { "dropping-particle" : "", "family" : "Jones", "given" : "Bethan M", "non-dropping-particle" : "", "parse-names" : false, "suffix" : "" }, { "dropping-particle" : "", "family" : "Iglesias-Rodriguez", "given" : "M Debora", "non-dropping-particle" : "", "parse-names" : false, "suffix" : "" }, { "dropping-particle" : "", "family" : "Skipp", "given" : "Paul J", "non-dropping-particle" : "", "parse-names" : false, "suffix" : "" }, { "dropping-particle" : "", "family" : "Edwards", "given" : "Richard J", "non-dropping-particle" : "", "parse-names" : false, "suffix" : "" }, { "dropping-particle" : "", "family" : "Greaves", "given" : "Mervyn J", "non-dropping-particle" : "", "parse-names" : false, "suffix" : "" }, { "dropping-particle" : "", "family" : "Young", "given" : "Jeremy R", "non-dropping-particle" : "", "parse-names" : false, "suffix" : "" }, { "dropping-particle" : "", "family" : "Elderfield", "given" : "Henry", "non-dropping-particle" : "", "parse-names" : false, "suffix" : "" }, { "dropping-particle" : "", "family" : "O'Connor", "given" : "C David", "non-dropping-particle" : "", "parse-names" : false, "suffix" : "" } ], "container-title" : "PloS one", "id" : "ITEM-6", "issue" : "4", "issued" : { "date-parts" : [ [ "2013", "1" ] ] }, "page" : "e61868", "title" : "Responses of the Emiliania huxleyi proteome to ocean acidification.", "type" : "article-journal", "volume" : "8" }, "uris" : [ "http://www.mendeley.com/documents/?uuid=d91838fe-95cb-422f-bd2c-a6d3fccee314" ] }, { "id" : "ITEM-7", "itemData" : { "DOI" : "10.1021/pr4006316", "ISSN" : "1535-3907", "PMID" : "23972258", "abstract" : "Cyanobacterial toxins and pesticides regularly impact freshwaters. Microcystin-LR is one of the most toxic and common cyanobacterial toxins whereas glyphosate is the active ingredient of a widely use herbicide. As filter feeders, freshwater mussels are particularly exposed. Like many native bivalve species, Unio pictorum suffers from a continuous decline in Europe. In order to get a deeper insight of its response to contaminants, U. pictorum was exposed to either 10 \u03bcg L(-1) of microcystin-LR or 10 \u03bcg L(-1) of glyphosate or a mixture of both. Proteins of the digestive glands were extracted and analyzed by DIGE. Gel analysis revealed 103 spots with statistical variations, and the response seems to be less toward glyphosate than to microcystin-LR. Specific spots have variations only when exposed to the mixture, showing that there is an interaction of both contaminants in the responses triggered. The proteins of 30 spots have been identified. They belong mostly to the cytoskeleton family, but proteins of the oxidative pathway, detoxification, and energetic metabolism were affected either by glyphosate or microcystin-LR or by the mixture. These results demonstrate the importance to study contaminants at low concentrations representative of those found in the field and that multicontaminations can lead to different response pathways.", "author" : [ { "dropping-particle" : "", "family" : "Mal\u00e9cot", "given" : "M\u00e9lodie", "non-dropping-particle" : "", "parse-names" : false, "suffix" : "" }, { "dropping-particle" : "", "family" : "Gu\u00e9vel", "given" : "Blandine", "non-dropping-particle" : "", "parse-names" : false, "suffix" : "" }, { "dropping-particle" : "", "family" : "Pineau", "given" : "Charles", "non-dropping-particle" : "", "parse-names" : false, "suffix" : "" }, { "dropping-particle" : "", "family" : "Holbech", "given" : "Bente Frost", "non-dropping-particle" : "", "parse-names" : false, "suffix" : "" }, { "dropping-particle" : "", "family" : "Bormans", "given" : "Myriam", "non-dropping-particle" : "", "parse-names" : false, "suffix" : "" }, { "dropping-particle" : "", "family" : "Wiegand", "given" : "Claudia", "non-dropping-particle" : "", "parse-names" : false, "suffix" : "" } ], "container-title" : "Journal of proteome research", "id" : "ITEM-7", "issue" : "11", "issued" : { "date-parts" : [ [ "2013", "11", "1" ] ] }, "page" : "5281-92", "title" : "Specific proteomic response of Unio pictorum mussel to a mixture of glyphosate and microcystin-LR.", "type" : "article-journal", "volume" : "12" }, "uris" : [ "http://www.mendeley.com/documents/?uuid=480e8e7b-d754-4001-b522-713422736a0c" ] } ], "mendeley" : { "manualFormatting" : "(Dineshram et al., 2013; Jones et al., 2013; Letendre et al., 2011; Mal\u00e9cot et al., 2013; Parker et al., 2011; Tomanek et al., 2011; Wong et al., 2011)", "previouslyFormattedCitation" : "(Dineshram et al., 2013; Jones et al., 2013; Letendre et al., 2011; Mal\u00e9cot et al., 2013; L. M. Parker, Ross, Raftos, Thompson, &amp; O\u2019Connor, 2011; Tomanek et al., 2011; Wong, Lane, Leung, &amp; Thiyagarajan, 2011)"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(Dineshram et al., 2013; Jones et al., 2013; Letendre et al., 2011; Malécot et al., 2013; Parker et al., 2011; Tomanek et al., 2011; Wong et al., 2011)</w:t>
      </w:r>
      <w:r w:rsidRPr="00114AD7">
        <w:rPr>
          <w:rFonts w:ascii="Times" w:hAnsi="Times"/>
        </w:rPr>
        <w:fldChar w:fldCharType="end"/>
      </w:r>
      <w:r w:rsidRPr="00114AD7">
        <w:rPr>
          <w:rFonts w:ascii="Times" w:hAnsi="Times"/>
        </w:rPr>
        <w:t xml:space="preserve">.  Changes in post-translational modifications (specifically phosphorylation status), which also play a role in whether or </w:t>
      </w:r>
      <w:r w:rsidR="00581C49" w:rsidRPr="00114AD7">
        <w:rPr>
          <w:rFonts w:ascii="Times" w:hAnsi="Times"/>
        </w:rPr>
        <w:t>not a protein is expressed, can</w:t>
      </w:r>
      <w:r w:rsidRPr="00114AD7">
        <w:rPr>
          <w:rFonts w:ascii="Times" w:hAnsi="Times"/>
        </w:rPr>
        <w:t xml:space="preserve"> be investigated using phosphoproteomics (e.g. </w:t>
      </w:r>
      <w:r w:rsidRPr="00114AD7">
        <w:rPr>
          <w:rFonts w:ascii="Times" w:hAnsi="Times"/>
        </w:rPr>
        <w:fldChar w:fldCharType="begin" w:fldLock="1"/>
      </w:r>
      <w:r w:rsidRPr="00114AD7">
        <w:rPr>
          <w:rFonts w:ascii="Times" w:hAnsi="Times"/>
        </w:rPr>
        <w:instrText>ADDIN CSL_CITATION { "citationItems" : [ { "id" : "ITEM-1", "itemData" : { "DOI" : "10.1186/1471-2164-14-766", "ISSN" : "1471-2164", "PMID" : "24199871", "abstract" : "BACKGROUND: Honeybee venom is a complicated defensive toxin that has a wide range of pharmacologically active compounds. Some of these compounds are useful for human therapeutics. There are two major forms of honeybee venom used in pharmacological applications: manually (or reservoir disrupting) extracted glandular venom (GV), and venom extracted through the use of electrical stimulation (ESV). A proteome comparison of these two venom forms and an understanding of the phosphorylation status of ESV, are still very limited. Here, the proteomes of GV and ESV were compared using both gel-based and gel-free proteomics approaches and the phosphoproteome of ESV was determined through the use of TiO2 enrichment.\n\nRESULTS: Of the 43 proteins identified in GV, &lt; 40% were venom toxins, and &gt; 60% of the proteins were non-toxic proteins resulting from contamination by gland tissue damage during extraction and bee death. Of the 17 proteins identified in ESV, 14 proteins (&gt;80%) were venom toxic proteins and most of them were found in higher abundance than in GV. Moreover, two novel proteins (dehydrogenase/reductase SDR family member 11-like and histone H2B.3-like) and three novel phosphorylation sites (icarapin (S43), phospholipase A-2 (T145), and apamin (T23)) were identified.\n\nCONCLUSIONS: Our data demonstrate that venom extracted manually is different from venom extracted using ESV, and these differences may be important in their use as pharmacological agents. ESV may be more efficient than GV as a potential pharmacological source because of its higher venom protein content, production efficiency, and without the need to kill honeybee. The three newly identified phosphorylated venom proteins in ESV may elicit a different immune response through the specific recognition of antigenic determinants. The two novel venom proteins extend our proteome coverage of honeybee venom.", "author" : [ { "dropping-particle" : "", "family" : "Li", "given" : "Rongli", "non-dropping-particle" : "", "parse-names" : false, "suffix" : "" }, { "dropping-particle" : "", "family" : "Zhang", "given" : "Lan", "non-dropping-particle" : "", "parse-names" : false, "suffix" : "" }, { "dropping-particle" : "", "family" : "Fang", "given" : "Yu", "non-dropping-particle" : "", "parse-names" : false, "suffix" : "" }, { "dropping-particle" : "", "family" : "Han", "given" : "Bin", "non-dropping-particle" : "", "parse-names" : false, "suffix" : "" }, { "dropping-particle" : "", "family" : "Lu", "given" : "Xiaoshan", "non-dropping-particle" : "", "parse-names" : false, "suffix" : "" }, { "dropping-particle" : "", "family" : "Zhou", "given" : "Tiane", "non-dropping-particle" : "", "parse-names" : false, "suffix" : "" }, { "dropping-particle" : "", "family" : "Feng", "given" : "Mao", "non-dropping-particle" : "", "parse-names" : false, "suffix" : "" }, { "dropping-particle" : "", "family" : "Li", "given" : "Jianke", "non-dropping-particle" : "", "parse-names" : false, "suffix" : "" } ], "container-title" : "BMC genomics", "id" : "ITEM-1", "issue" : "1", "issued" : { "date-parts" : [ [ "2013", "11", "7" ] ] }, "page" : "766", "publisher" : "BMC Genomics", "title" : "Proteome and phosphoproteome analysis of honeybee (Apis mellifera) venom collected from electrical stimulation and manual extraction of the venom gland.", "type" : "article-journal", "volume" : "14" }, "uris" : [ "http://www.mendeley.com/documents/?uuid=9199d32c-e2f0-419a-9ab6-a1e507c96e74" ] }, { "id" : "ITEM-2",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"ITEM-2",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"mendeley" : { "previouslyFormattedCitation" : "(Dineshram et al., 2013; Li et al., 2013)" }, "properties" : { "noteIndex" : 0 }, "schema" : "https://github.com/citation-style-language/schema/raw/master/csl-citation.json" }</w:instrText>
      </w:r>
      <w:r w:rsidRPr="00114AD7">
        <w:rPr>
          <w:rFonts w:ascii="Times" w:hAnsi="Times"/>
        </w:rPr>
        <w:fldChar w:fldCharType="separate"/>
      </w:r>
      <w:r w:rsidRPr="00114AD7">
        <w:rPr>
          <w:rFonts w:ascii="Times" w:hAnsi="Times"/>
          <w:noProof/>
        </w:rPr>
        <w:t>Dineshram et al., 2013; Li et al., 2013)</w:t>
      </w:r>
      <w:r w:rsidRPr="00114AD7">
        <w:rPr>
          <w:rFonts w:ascii="Times" w:hAnsi="Times"/>
        </w:rPr>
        <w:fldChar w:fldCharType="end"/>
      </w:r>
      <w:r w:rsidRPr="00114AD7">
        <w:rPr>
          <w:rFonts w:ascii="Times" w:hAnsi="Times"/>
        </w:rPr>
        <w:t>.</w:t>
      </w:r>
    </w:p>
    <w:p w14:paraId="3E584B65" w14:textId="77777777" w:rsidR="006315D6" w:rsidRPr="00114AD7" w:rsidRDefault="006315D6" w:rsidP="006315D6">
      <w:pPr>
        <w:spacing w:line="360" w:lineRule="auto"/>
        <w:rPr>
          <w:rFonts w:ascii="Times" w:hAnsi="Times"/>
        </w:rPr>
      </w:pPr>
    </w:p>
    <w:p w14:paraId="3C2605BB" w14:textId="5BE6076E" w:rsidR="006315D6" w:rsidRPr="00D03E13" w:rsidRDefault="006315D6" w:rsidP="00D92FB6">
      <w:pPr>
        <w:spacing w:line="360" w:lineRule="auto"/>
        <w:ind w:firstLine="720"/>
      </w:pPr>
      <w:r w:rsidRPr="00114AD7">
        <w:rPr>
          <w:rFonts w:ascii="Times" w:hAnsi="Times"/>
        </w:rPr>
        <w:t xml:space="preserve">This dissertation explores the effects of ocean acidification on the Pacific oyster, </w:t>
      </w:r>
      <w:r w:rsidRPr="00114AD7">
        <w:rPr>
          <w:rFonts w:ascii="Times" w:hAnsi="Times"/>
          <w:i/>
        </w:rPr>
        <w:t>Crassostrea gigas</w:t>
      </w:r>
      <w:r w:rsidRPr="00114AD7">
        <w:rPr>
          <w:rFonts w:ascii="Times" w:hAnsi="Times"/>
        </w:rPr>
        <w:t xml:space="preserve">, at two different life stages.  In the first chapter, larvae are exposed to elevated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to assess how ocean acidification affects the earliest stages of development.  Chapter </w:t>
      </w:r>
      <w:r w:rsidR="00730183" w:rsidRPr="00114AD7">
        <w:rPr>
          <w:rFonts w:ascii="Times" w:hAnsi="Times"/>
        </w:rPr>
        <w:t>2</w:t>
      </w:r>
      <w:r w:rsidRPr="00114AD7">
        <w:rPr>
          <w:rFonts w:ascii="Times" w:hAnsi="Times"/>
        </w:rPr>
        <w:t xml:space="preserve"> describes the development of shotgun proteomics tools that can facilitate the study of the mechanisms behind the oyster’s response to ocean acidification and other environmental stressors.  Chapter </w:t>
      </w:r>
      <w:r w:rsidR="00730183" w:rsidRPr="00114AD7">
        <w:rPr>
          <w:rFonts w:ascii="Times" w:hAnsi="Times"/>
        </w:rPr>
        <w:t>3</w:t>
      </w:r>
      <w:r w:rsidRPr="00114AD7">
        <w:rPr>
          <w:rFonts w:ascii="Times" w:hAnsi="Times"/>
        </w:rPr>
        <w:t xml:space="preserve"> details the effects of ocean acidification on the adult oyster proteomic response, fatty acid profiles, shell </w:t>
      </w:r>
      <w:r w:rsidR="00581C49" w:rsidRPr="00114AD7">
        <w:rPr>
          <w:rFonts w:ascii="Times" w:hAnsi="Times"/>
        </w:rPr>
        <w:t>microstructural properties</w:t>
      </w:r>
      <w:r w:rsidRPr="00114AD7">
        <w:rPr>
          <w:rFonts w:ascii="Times" w:hAnsi="Times"/>
        </w:rPr>
        <w:t xml:space="preserve">, and response to another stressor.  Lastly, Appendix A </w:t>
      </w:r>
      <w:r w:rsidR="00730183" w:rsidRPr="00114AD7">
        <w:rPr>
          <w:rFonts w:ascii="Times" w:hAnsi="Times"/>
        </w:rPr>
        <w:t>describes</w:t>
      </w:r>
      <w:r w:rsidRPr="00114AD7">
        <w:rPr>
          <w:rFonts w:ascii="Times" w:hAnsi="Times"/>
        </w:rPr>
        <w:t xml:space="preserve"> an investigation of specific antioxidant response enzymes and their role in the response to elevated </w:t>
      </w:r>
      <w:r w:rsidRPr="00114AD7">
        <w:rPr>
          <w:rFonts w:ascii="Times" w:hAnsi="Times"/>
          <w:i/>
        </w:rPr>
        <w:t>p</w:t>
      </w:r>
      <w:r w:rsidRPr="00114AD7">
        <w:rPr>
          <w:rFonts w:ascii="Times" w:hAnsi="Times"/>
        </w:rPr>
        <w:t>CO</w:t>
      </w:r>
      <w:r w:rsidRPr="00114AD7">
        <w:rPr>
          <w:rFonts w:ascii="Times" w:hAnsi="Times"/>
          <w:vertAlign w:val="subscript"/>
        </w:rPr>
        <w:t>2</w:t>
      </w:r>
      <w:r w:rsidR="00B2686F" w:rsidRPr="00114AD7">
        <w:rPr>
          <w:rFonts w:ascii="Times" w:hAnsi="Times"/>
        </w:rPr>
        <w:t xml:space="preserve"> and Appendix B includes results from a histological analysis of cuboidal metaplasia in response to ocean acidification and mechanical stress</w:t>
      </w:r>
      <w:r w:rsidRPr="00114AD7">
        <w:rPr>
          <w:rFonts w:ascii="Times" w:hAnsi="Times"/>
        </w:rPr>
        <w:t xml:space="preserve">.  The work as a whole represents novel investigations into the mechanisms behind the invertebrate response to elevated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By combining analyses across different life stages and different scales (i.e. </w:t>
      </w:r>
      <w:r w:rsidR="00581C49" w:rsidRPr="00114AD7">
        <w:rPr>
          <w:rFonts w:ascii="Times" w:hAnsi="Times"/>
        </w:rPr>
        <w:t xml:space="preserve">molecular to phenotypic) </w:t>
      </w:r>
      <w:r w:rsidRPr="00114AD7">
        <w:rPr>
          <w:rFonts w:ascii="Times" w:hAnsi="Times"/>
        </w:rPr>
        <w:t>the results illustrate the integrative response of oysters to this environmental stress.</w:t>
      </w:r>
    </w:p>
    <w:p w14:paraId="2713D0CC" w14:textId="0F0D6019" w:rsidR="00C02D9B" w:rsidRDefault="006315D6" w:rsidP="006315D6">
      <w:pPr>
        <w:pStyle w:val="Heading2"/>
      </w:pPr>
      <w:bookmarkStart w:id="14" w:name="_Toc257278768"/>
      <w:r>
        <w:t>Works Cited</w:t>
      </w:r>
      <w:bookmarkEnd w:id="14"/>
    </w:p>
    <w:p w14:paraId="09CD8235" w14:textId="2FD64D30" w:rsidR="00A73320" w:rsidRPr="00114AD7" w:rsidRDefault="00A73320" w:rsidP="00D92FB6">
      <w:pPr>
        <w:pStyle w:val="NormalWeb"/>
        <w:ind w:left="480" w:hanging="480"/>
        <w:rPr>
          <w:sz w:val="24"/>
          <w:szCs w:val="24"/>
        </w:rPr>
      </w:pPr>
      <w:r w:rsidRPr="00114AD7">
        <w:rPr>
          <w:sz w:val="24"/>
          <w:szCs w:val="24"/>
        </w:rPr>
        <w:t xml:space="preserve">Applebaum, S.L., Ginsburg, D.W., Capron, C.S., and Manahan, D.T. (2013). Expression of amino acid transporter genes in developmental stages of adult tissues of Antarctic echinoderms. </w:t>
      </w:r>
      <w:r w:rsidRPr="00114AD7">
        <w:rPr>
          <w:i/>
          <w:sz w:val="24"/>
          <w:szCs w:val="24"/>
        </w:rPr>
        <w:t>Polar Biol</w:t>
      </w:r>
      <w:r w:rsidRPr="00114AD7">
        <w:rPr>
          <w:sz w:val="24"/>
          <w:szCs w:val="24"/>
        </w:rPr>
        <w:t xml:space="preserve">, </w:t>
      </w:r>
      <w:r w:rsidRPr="00114AD7">
        <w:rPr>
          <w:i/>
          <w:sz w:val="24"/>
          <w:szCs w:val="24"/>
        </w:rPr>
        <w:t>36</w:t>
      </w:r>
      <w:r w:rsidRPr="00114AD7">
        <w:rPr>
          <w:sz w:val="24"/>
          <w:szCs w:val="24"/>
        </w:rPr>
        <w:t>, 1257-1267.</w:t>
      </w:r>
    </w:p>
    <w:p w14:paraId="7B925A0F" w14:textId="77777777" w:rsidR="00D92FB6" w:rsidRPr="00114AD7" w:rsidRDefault="00D92FB6" w:rsidP="00D92FB6">
      <w:pPr>
        <w:pStyle w:val="NormalWeb"/>
        <w:ind w:left="480" w:hanging="480"/>
        <w:rPr>
          <w:noProof/>
          <w:sz w:val="24"/>
          <w:szCs w:val="24"/>
        </w:rPr>
      </w:pPr>
      <w:r w:rsidRPr="00114AD7">
        <w:rPr>
          <w:sz w:val="24"/>
          <w:szCs w:val="24"/>
        </w:rPr>
        <w:fldChar w:fldCharType="begin" w:fldLock="1"/>
      </w:r>
      <w:r w:rsidRPr="00114AD7">
        <w:rPr>
          <w:sz w:val="24"/>
          <w:szCs w:val="24"/>
        </w:rPr>
        <w:instrText xml:space="preserve">ADDIN Mendeley Bibliography CSL_BIBLIOGRAPHY </w:instrText>
      </w:r>
      <w:r w:rsidRPr="00114AD7">
        <w:rPr>
          <w:sz w:val="24"/>
          <w:szCs w:val="24"/>
        </w:rPr>
        <w:fldChar w:fldCharType="separate"/>
      </w:r>
      <w:r w:rsidRPr="00114AD7">
        <w:rPr>
          <w:noProof/>
          <w:sz w:val="24"/>
          <w:szCs w:val="24"/>
        </w:rPr>
        <w:t xml:space="preserve">Babson, A. L., Kawase, M., &amp; MacCready, P. (2006). Seasonal and interannual variability in the circulation of Puget Sound, Washington: A box model study. </w:t>
      </w:r>
      <w:r w:rsidRPr="00114AD7">
        <w:rPr>
          <w:i/>
          <w:iCs/>
          <w:noProof/>
          <w:sz w:val="24"/>
          <w:szCs w:val="24"/>
        </w:rPr>
        <w:t>Atmosphere-Ocean</w:t>
      </w:r>
      <w:r w:rsidRPr="00114AD7">
        <w:rPr>
          <w:noProof/>
          <w:sz w:val="24"/>
          <w:szCs w:val="24"/>
        </w:rPr>
        <w:t xml:space="preserve">, </w:t>
      </w:r>
      <w:r w:rsidRPr="00114AD7">
        <w:rPr>
          <w:i/>
          <w:iCs/>
          <w:noProof/>
          <w:sz w:val="24"/>
          <w:szCs w:val="24"/>
        </w:rPr>
        <w:t>44</w:t>
      </w:r>
      <w:r w:rsidRPr="00114AD7">
        <w:rPr>
          <w:noProof/>
          <w:sz w:val="24"/>
          <w:szCs w:val="24"/>
        </w:rPr>
        <w:t>(1), 29–45. doi:10.3137/ao.440103</w:t>
      </w:r>
    </w:p>
    <w:p w14:paraId="3895E4B1" w14:textId="77777777" w:rsidR="00D92FB6" w:rsidRPr="00114AD7" w:rsidRDefault="00D92FB6" w:rsidP="00D92FB6">
      <w:pPr>
        <w:pStyle w:val="NormalWeb"/>
        <w:ind w:left="480" w:hanging="480"/>
        <w:rPr>
          <w:noProof/>
          <w:sz w:val="24"/>
          <w:szCs w:val="24"/>
        </w:rPr>
      </w:pPr>
      <w:r w:rsidRPr="00114AD7">
        <w:rPr>
          <w:noProof/>
          <w:sz w:val="24"/>
          <w:szCs w:val="24"/>
        </w:rPr>
        <w:t xml:space="preserve">Bakun, A., Field, D. B., Redondo-Rodriguez, A., &amp; Weeks, S. J. (2010). Greenhouse gas, upwelling-favorable winds, and the future of coastal ocean upwelling ecosystems. </w:t>
      </w:r>
      <w:r w:rsidRPr="00114AD7">
        <w:rPr>
          <w:i/>
          <w:iCs/>
          <w:noProof/>
          <w:sz w:val="24"/>
          <w:szCs w:val="24"/>
        </w:rPr>
        <w:t>Global Change Biology</w:t>
      </w:r>
      <w:r w:rsidRPr="00114AD7">
        <w:rPr>
          <w:noProof/>
          <w:sz w:val="24"/>
          <w:szCs w:val="24"/>
        </w:rPr>
        <w:t xml:space="preserve">, </w:t>
      </w:r>
      <w:r w:rsidRPr="00114AD7">
        <w:rPr>
          <w:i/>
          <w:iCs/>
          <w:noProof/>
          <w:sz w:val="24"/>
          <w:szCs w:val="24"/>
        </w:rPr>
        <w:t>16</w:t>
      </w:r>
      <w:r w:rsidRPr="00114AD7">
        <w:rPr>
          <w:noProof/>
          <w:sz w:val="24"/>
          <w:szCs w:val="24"/>
        </w:rPr>
        <w:t>(4), 1213–1228. doi:10.1111/j.1365-2486.2009.02094.x</w:t>
      </w:r>
    </w:p>
    <w:p w14:paraId="6DFBE84A" w14:textId="6AF31084" w:rsidR="00A73320" w:rsidRPr="00114AD7" w:rsidRDefault="00A73320" w:rsidP="00D92FB6">
      <w:pPr>
        <w:pStyle w:val="NormalWeb"/>
        <w:ind w:left="480" w:hanging="480"/>
        <w:rPr>
          <w:noProof/>
          <w:sz w:val="24"/>
          <w:szCs w:val="24"/>
        </w:rPr>
      </w:pPr>
      <w:r w:rsidRPr="00114AD7">
        <w:rPr>
          <w:noProof/>
          <w:sz w:val="24"/>
          <w:szCs w:val="24"/>
        </w:rPr>
        <w:t xml:space="preserve">Barkovskii, A.L., Green, C., and Hurley, D. (2010). The occurrence, spatial and temporal distrubiton, and environmental routes of tetracycline resistance and integrase genes in </w:t>
      </w:r>
      <w:r w:rsidRPr="00114AD7">
        <w:rPr>
          <w:i/>
          <w:noProof/>
          <w:sz w:val="24"/>
          <w:szCs w:val="24"/>
        </w:rPr>
        <w:t xml:space="preserve">Crassostrea virginica </w:t>
      </w:r>
      <w:r w:rsidRPr="00114AD7">
        <w:rPr>
          <w:noProof/>
          <w:sz w:val="24"/>
          <w:szCs w:val="24"/>
        </w:rPr>
        <w:t xml:space="preserve">beds. </w:t>
      </w:r>
      <w:r w:rsidRPr="00114AD7">
        <w:rPr>
          <w:i/>
          <w:noProof/>
          <w:sz w:val="24"/>
          <w:szCs w:val="24"/>
        </w:rPr>
        <w:t>Marine Pollution Bulletin</w:t>
      </w:r>
      <w:r w:rsidRPr="00114AD7">
        <w:rPr>
          <w:noProof/>
          <w:sz w:val="24"/>
          <w:szCs w:val="24"/>
        </w:rPr>
        <w:t xml:space="preserve">, </w:t>
      </w:r>
      <w:r w:rsidRPr="00114AD7">
        <w:rPr>
          <w:i/>
          <w:noProof/>
          <w:sz w:val="24"/>
          <w:szCs w:val="24"/>
        </w:rPr>
        <w:t>60</w:t>
      </w:r>
      <w:r w:rsidRPr="00114AD7">
        <w:rPr>
          <w:noProof/>
          <w:sz w:val="24"/>
          <w:szCs w:val="24"/>
        </w:rPr>
        <w:t>, 2215-2224.</w:t>
      </w:r>
    </w:p>
    <w:p w14:paraId="697332CA" w14:textId="77777777" w:rsidR="00D92FB6" w:rsidRPr="00114AD7" w:rsidRDefault="00D92FB6" w:rsidP="00D92FB6">
      <w:pPr>
        <w:pStyle w:val="NormalWeb"/>
        <w:ind w:left="480" w:hanging="480"/>
        <w:rPr>
          <w:noProof/>
          <w:sz w:val="24"/>
          <w:szCs w:val="24"/>
        </w:rPr>
      </w:pPr>
      <w:r w:rsidRPr="00114AD7">
        <w:rPr>
          <w:noProof/>
          <w:sz w:val="24"/>
          <w:szCs w:val="24"/>
        </w:rPr>
        <w:t xml:space="preserve">Barros, P., Sobral, P., Range, P., Chícharo, L., &amp; Matias, D. (2013). Effects of sea-water acidification on fertilization and larval development of the oyster Crassostrea gigas. </w:t>
      </w:r>
      <w:r w:rsidRPr="00114AD7">
        <w:rPr>
          <w:i/>
          <w:iCs/>
          <w:noProof/>
          <w:sz w:val="24"/>
          <w:szCs w:val="24"/>
        </w:rPr>
        <w:t>Journal of Experimental Marine Biology and Ecology</w:t>
      </w:r>
      <w:r w:rsidRPr="00114AD7">
        <w:rPr>
          <w:noProof/>
          <w:sz w:val="24"/>
          <w:szCs w:val="24"/>
        </w:rPr>
        <w:t xml:space="preserve">, </w:t>
      </w:r>
      <w:r w:rsidRPr="00114AD7">
        <w:rPr>
          <w:i/>
          <w:iCs/>
          <w:noProof/>
          <w:sz w:val="24"/>
          <w:szCs w:val="24"/>
        </w:rPr>
        <w:t>440</w:t>
      </w:r>
      <w:r w:rsidRPr="00114AD7">
        <w:rPr>
          <w:noProof/>
          <w:sz w:val="24"/>
          <w:szCs w:val="24"/>
        </w:rPr>
        <w:t>, 200–206. doi:10.1016/j.jembe.2012.12.014</w:t>
      </w:r>
    </w:p>
    <w:p w14:paraId="03705D15" w14:textId="77777777" w:rsidR="00D92FB6" w:rsidRPr="00114AD7" w:rsidRDefault="00D92FB6" w:rsidP="00D92FB6">
      <w:pPr>
        <w:pStyle w:val="NormalWeb"/>
        <w:ind w:left="480" w:hanging="480"/>
        <w:rPr>
          <w:noProof/>
          <w:sz w:val="24"/>
          <w:szCs w:val="24"/>
        </w:rPr>
      </w:pPr>
      <w:r w:rsidRPr="00114AD7">
        <w:rPr>
          <w:noProof/>
          <w:sz w:val="24"/>
          <w:szCs w:val="24"/>
        </w:rPr>
        <w:t xml:space="preserve">Barton, A., Hales, B., Waldbusser, G. G., Langdon, C., &amp; Feely, R. A. (2012). The Pacific oyster, Crassostrea gigas, shows negative correlation to naturally elevated carbon dioxide levels: Implications for near-term ocean acidification effects. </w:t>
      </w:r>
      <w:r w:rsidRPr="00114AD7">
        <w:rPr>
          <w:i/>
          <w:iCs/>
          <w:noProof/>
          <w:sz w:val="24"/>
          <w:szCs w:val="24"/>
        </w:rPr>
        <w:t>Limnology and Oceanography</w:t>
      </w:r>
      <w:r w:rsidRPr="00114AD7">
        <w:rPr>
          <w:noProof/>
          <w:sz w:val="24"/>
          <w:szCs w:val="24"/>
        </w:rPr>
        <w:t xml:space="preserve">, </w:t>
      </w:r>
      <w:r w:rsidRPr="00114AD7">
        <w:rPr>
          <w:i/>
          <w:iCs/>
          <w:noProof/>
          <w:sz w:val="24"/>
          <w:szCs w:val="24"/>
        </w:rPr>
        <w:t>57</w:t>
      </w:r>
      <w:r w:rsidRPr="00114AD7">
        <w:rPr>
          <w:noProof/>
          <w:sz w:val="24"/>
          <w:szCs w:val="24"/>
        </w:rPr>
        <w:t>(3), 698–710. doi:10.4319/lo.2012.57.3.0698</w:t>
      </w:r>
    </w:p>
    <w:p w14:paraId="08AF9F1C" w14:textId="77777777" w:rsidR="00D92FB6" w:rsidRPr="00114AD7" w:rsidRDefault="00D92FB6" w:rsidP="00D92FB6">
      <w:pPr>
        <w:pStyle w:val="NormalWeb"/>
        <w:ind w:left="480" w:hanging="480"/>
        <w:rPr>
          <w:noProof/>
          <w:sz w:val="24"/>
          <w:szCs w:val="24"/>
        </w:rPr>
      </w:pPr>
      <w:r w:rsidRPr="00114AD7">
        <w:rPr>
          <w:noProof/>
          <w:sz w:val="24"/>
          <w:szCs w:val="24"/>
        </w:rPr>
        <w:t xml:space="preserve">Beniash, E., Ivanina, a, Lieb, N., Kurochkin, I., &amp; Sokolova, I. (2010). Elevated level of carbon dioxide affects metabolism and shell formation in oysters Crassostrea virginica (Gmelin). </w:t>
      </w:r>
      <w:r w:rsidRPr="00114AD7">
        <w:rPr>
          <w:i/>
          <w:iCs/>
          <w:noProof/>
          <w:sz w:val="24"/>
          <w:szCs w:val="24"/>
        </w:rPr>
        <w:t>Marine Ecology Progress Series</w:t>
      </w:r>
      <w:r w:rsidRPr="00114AD7">
        <w:rPr>
          <w:noProof/>
          <w:sz w:val="24"/>
          <w:szCs w:val="24"/>
        </w:rPr>
        <w:t xml:space="preserve">, </w:t>
      </w:r>
      <w:r w:rsidRPr="00114AD7">
        <w:rPr>
          <w:i/>
          <w:iCs/>
          <w:noProof/>
          <w:sz w:val="24"/>
          <w:szCs w:val="24"/>
        </w:rPr>
        <w:t>419</w:t>
      </w:r>
      <w:r w:rsidRPr="00114AD7">
        <w:rPr>
          <w:noProof/>
          <w:sz w:val="24"/>
          <w:szCs w:val="24"/>
        </w:rPr>
        <w:t>, 95–108. doi:10.3354/meps08841</w:t>
      </w:r>
    </w:p>
    <w:p w14:paraId="5477BCA7" w14:textId="0351B352" w:rsidR="00D92FB6" w:rsidRPr="00114AD7" w:rsidRDefault="00D92FB6" w:rsidP="00D92FB6">
      <w:pPr>
        <w:pStyle w:val="NormalWeb"/>
        <w:ind w:left="480" w:hanging="480"/>
        <w:rPr>
          <w:noProof/>
          <w:sz w:val="24"/>
          <w:szCs w:val="24"/>
        </w:rPr>
      </w:pPr>
      <w:r w:rsidRPr="00114AD7">
        <w:rPr>
          <w:noProof/>
          <w:sz w:val="24"/>
          <w:szCs w:val="24"/>
        </w:rPr>
        <w:t>Booth, J. A. T., McPhee-Shaw, E. E., Chua, P., Kingsley</w:t>
      </w:r>
      <w:r w:rsidR="007022AF">
        <w:rPr>
          <w:noProof/>
          <w:sz w:val="24"/>
          <w:szCs w:val="24"/>
        </w:rPr>
        <w:t xml:space="preserve">, E., Denny, M., Phillips, R., Bograd, S.J., Zeidberg, L.D., </w:t>
      </w:r>
      <w:r w:rsidR="00791791">
        <w:rPr>
          <w:noProof/>
          <w:sz w:val="24"/>
          <w:szCs w:val="24"/>
        </w:rPr>
        <w:t>&amp;</w:t>
      </w:r>
      <w:r w:rsidRPr="00114AD7">
        <w:rPr>
          <w:noProof/>
          <w:sz w:val="24"/>
          <w:szCs w:val="24"/>
        </w:rPr>
        <w:t xml:space="preserve"> Gilly, W. F. (2012). Natural intrusions of hypoxic, low pH water into nearshore marine environments on the California coast. </w:t>
      </w:r>
      <w:r w:rsidRPr="00114AD7">
        <w:rPr>
          <w:i/>
          <w:iCs/>
          <w:noProof/>
          <w:sz w:val="24"/>
          <w:szCs w:val="24"/>
        </w:rPr>
        <w:t>Continental Shelf Research</w:t>
      </w:r>
      <w:r w:rsidRPr="00114AD7">
        <w:rPr>
          <w:noProof/>
          <w:sz w:val="24"/>
          <w:szCs w:val="24"/>
        </w:rPr>
        <w:t xml:space="preserve">, </w:t>
      </w:r>
      <w:r w:rsidRPr="00114AD7">
        <w:rPr>
          <w:i/>
          <w:iCs/>
          <w:noProof/>
          <w:sz w:val="24"/>
          <w:szCs w:val="24"/>
        </w:rPr>
        <w:t>45</w:t>
      </w:r>
      <w:r w:rsidRPr="00114AD7">
        <w:rPr>
          <w:noProof/>
          <w:sz w:val="24"/>
          <w:szCs w:val="24"/>
        </w:rPr>
        <w:t>, 108–115. doi:10.1016/j.csr.2012.06.009</w:t>
      </w:r>
    </w:p>
    <w:p w14:paraId="108D3773" w14:textId="77777777" w:rsidR="00D92FB6" w:rsidRPr="00114AD7" w:rsidRDefault="00D92FB6" w:rsidP="00D92FB6">
      <w:pPr>
        <w:pStyle w:val="NormalWeb"/>
        <w:ind w:left="480" w:hanging="480"/>
        <w:rPr>
          <w:noProof/>
          <w:sz w:val="24"/>
          <w:szCs w:val="24"/>
        </w:rPr>
      </w:pPr>
      <w:r w:rsidRPr="00114AD7">
        <w:rPr>
          <w:noProof/>
          <w:sz w:val="24"/>
          <w:szCs w:val="24"/>
        </w:rPr>
        <w:t xml:space="preserve">Caldeira, K., &amp; Wickett, M. E. (2005). Ocean model predictions of chemistry changes from carbon dioxide emissions to the atmosphere and ocean. </w:t>
      </w:r>
      <w:r w:rsidRPr="00114AD7">
        <w:rPr>
          <w:i/>
          <w:iCs/>
          <w:noProof/>
          <w:sz w:val="24"/>
          <w:szCs w:val="24"/>
        </w:rPr>
        <w:t>Journal of Geophysical Research</w:t>
      </w:r>
      <w:r w:rsidRPr="00114AD7">
        <w:rPr>
          <w:noProof/>
          <w:sz w:val="24"/>
          <w:szCs w:val="24"/>
        </w:rPr>
        <w:t xml:space="preserve">, </w:t>
      </w:r>
      <w:r w:rsidRPr="00114AD7">
        <w:rPr>
          <w:i/>
          <w:iCs/>
          <w:noProof/>
          <w:sz w:val="24"/>
          <w:szCs w:val="24"/>
        </w:rPr>
        <w:t>110</w:t>
      </w:r>
      <w:r w:rsidRPr="00114AD7">
        <w:rPr>
          <w:noProof/>
          <w:sz w:val="24"/>
          <w:szCs w:val="24"/>
        </w:rPr>
        <w:t>(C9), C09S04. doi:10.1029/2004JC002671</w:t>
      </w:r>
    </w:p>
    <w:p w14:paraId="1494F605" w14:textId="77777777" w:rsidR="00D92FB6" w:rsidRPr="00114AD7" w:rsidRDefault="00D92FB6" w:rsidP="00D92FB6">
      <w:pPr>
        <w:pStyle w:val="NormalWeb"/>
        <w:ind w:left="480" w:hanging="480"/>
        <w:rPr>
          <w:noProof/>
          <w:sz w:val="24"/>
          <w:szCs w:val="24"/>
        </w:rPr>
      </w:pPr>
      <w:r w:rsidRPr="00114AD7">
        <w:rPr>
          <w:noProof/>
          <w:sz w:val="24"/>
          <w:szCs w:val="24"/>
        </w:rPr>
        <w:t xml:space="preserve">Clark, M. S., Thorne, M. a S., Amaral, A., Vieira, F., Batista, F. M., Reis, J., &amp; Power, D. M. (2013). Identification of molecular and physiological responses to chronic environmental challenge in an invasive species: the Pacific oyster, Crassostrea gigas. </w:t>
      </w:r>
      <w:r w:rsidRPr="00114AD7">
        <w:rPr>
          <w:i/>
          <w:iCs/>
          <w:noProof/>
          <w:sz w:val="24"/>
          <w:szCs w:val="24"/>
        </w:rPr>
        <w:t>Ecology and evolution</w:t>
      </w:r>
      <w:r w:rsidRPr="00114AD7">
        <w:rPr>
          <w:noProof/>
          <w:sz w:val="24"/>
          <w:szCs w:val="24"/>
        </w:rPr>
        <w:t xml:space="preserve">, </w:t>
      </w:r>
      <w:r w:rsidRPr="00114AD7">
        <w:rPr>
          <w:i/>
          <w:iCs/>
          <w:noProof/>
          <w:sz w:val="24"/>
          <w:szCs w:val="24"/>
        </w:rPr>
        <w:t>3</w:t>
      </w:r>
      <w:r w:rsidRPr="00114AD7">
        <w:rPr>
          <w:noProof/>
          <w:sz w:val="24"/>
          <w:szCs w:val="24"/>
        </w:rPr>
        <w:t>(10), 3283–97. doi:10.1002/ece3.719</w:t>
      </w:r>
    </w:p>
    <w:p w14:paraId="31AEDCFB" w14:textId="40166892" w:rsidR="00D92FB6" w:rsidRPr="00114AD7" w:rsidRDefault="00D92FB6" w:rsidP="00D92FB6">
      <w:pPr>
        <w:pStyle w:val="NormalWeb"/>
        <w:ind w:left="480" w:hanging="480"/>
        <w:rPr>
          <w:noProof/>
          <w:sz w:val="24"/>
          <w:szCs w:val="24"/>
        </w:rPr>
      </w:pPr>
      <w:r w:rsidRPr="00114AD7">
        <w:rPr>
          <w:noProof/>
          <w:sz w:val="24"/>
          <w:szCs w:val="24"/>
        </w:rPr>
        <w:t>Colbourne, J. K., Pfrender, M. E., Gilbert, D., Thomas, W. K</w:t>
      </w:r>
      <w:r w:rsidR="00791791">
        <w:rPr>
          <w:noProof/>
          <w:sz w:val="24"/>
          <w:szCs w:val="24"/>
        </w:rPr>
        <w:t xml:space="preserve">., Tucker, A., Oakley, T. H., Tokishita, S., Aerts, A., Arnold, G.J., Basu, M.K., et al. </w:t>
      </w:r>
      <w:r w:rsidRPr="00114AD7">
        <w:rPr>
          <w:noProof/>
          <w:sz w:val="24"/>
          <w:szCs w:val="24"/>
        </w:rPr>
        <w:t xml:space="preserve">(2011). The ecoresponsive genome of Daphnia pulex. </w:t>
      </w:r>
      <w:r w:rsidRPr="00114AD7">
        <w:rPr>
          <w:i/>
          <w:iCs/>
          <w:noProof/>
          <w:sz w:val="24"/>
          <w:szCs w:val="24"/>
        </w:rPr>
        <w:t>Science</w:t>
      </w:r>
      <w:r w:rsidRPr="00114AD7">
        <w:rPr>
          <w:noProof/>
          <w:sz w:val="24"/>
          <w:szCs w:val="24"/>
        </w:rPr>
        <w:t xml:space="preserve">, </w:t>
      </w:r>
      <w:r w:rsidRPr="00114AD7">
        <w:rPr>
          <w:i/>
          <w:iCs/>
          <w:noProof/>
          <w:sz w:val="24"/>
          <w:szCs w:val="24"/>
        </w:rPr>
        <w:t>331</w:t>
      </w:r>
      <w:r w:rsidRPr="00114AD7">
        <w:rPr>
          <w:noProof/>
          <w:sz w:val="24"/>
          <w:szCs w:val="24"/>
        </w:rPr>
        <w:t>(6017), 555–61. doi:10.1126/science.1197761</w:t>
      </w:r>
    </w:p>
    <w:p w14:paraId="77FB219B" w14:textId="04230A14" w:rsidR="000362D9" w:rsidRPr="00114AD7" w:rsidRDefault="000362D9" w:rsidP="00D92FB6">
      <w:pPr>
        <w:pStyle w:val="NormalWeb"/>
        <w:ind w:left="480" w:hanging="480"/>
        <w:rPr>
          <w:noProof/>
          <w:sz w:val="24"/>
          <w:szCs w:val="24"/>
        </w:rPr>
      </w:pPr>
      <w:r w:rsidRPr="00114AD7">
        <w:rPr>
          <w:noProof/>
          <w:sz w:val="24"/>
          <w:szCs w:val="24"/>
        </w:rPr>
        <w:t xml:space="preserve">Dean, B. (1902). Japanese Oyster-Culture. </w:t>
      </w:r>
      <w:r w:rsidRPr="00114AD7">
        <w:rPr>
          <w:i/>
          <w:noProof/>
          <w:sz w:val="24"/>
          <w:szCs w:val="24"/>
        </w:rPr>
        <w:t>Bull. US FISh. Comm.</w:t>
      </w:r>
      <w:r w:rsidRPr="00114AD7">
        <w:rPr>
          <w:noProof/>
          <w:sz w:val="24"/>
          <w:szCs w:val="24"/>
        </w:rPr>
        <w:t>, 17-38.</w:t>
      </w:r>
    </w:p>
    <w:p w14:paraId="1C6067BF" w14:textId="549179A0" w:rsidR="00D92FB6" w:rsidRPr="00114AD7" w:rsidRDefault="00D92FB6" w:rsidP="00D92FB6">
      <w:pPr>
        <w:pStyle w:val="NormalWeb"/>
        <w:ind w:left="480" w:hanging="480"/>
        <w:rPr>
          <w:noProof/>
          <w:sz w:val="24"/>
          <w:szCs w:val="24"/>
        </w:rPr>
      </w:pPr>
      <w:r w:rsidRPr="00114AD7">
        <w:rPr>
          <w:noProof/>
          <w:sz w:val="24"/>
          <w:szCs w:val="24"/>
        </w:rPr>
        <w:t>Dickinson, G. H., Ivanina, A. V, Matoo, O. B., Pörtner, H. O., Lannig, G., Bock, C.</w:t>
      </w:r>
      <w:r w:rsidR="00791791">
        <w:rPr>
          <w:noProof/>
          <w:sz w:val="24"/>
          <w:szCs w:val="24"/>
        </w:rPr>
        <w:t xml:space="preserve">, Beniash, E., &amp; </w:t>
      </w:r>
      <w:r w:rsidRPr="00114AD7">
        <w:rPr>
          <w:noProof/>
          <w:sz w:val="24"/>
          <w:szCs w:val="24"/>
        </w:rPr>
        <w:t>Sokolova, I. M. (2012). Interactive effects of salinity and elevated CO</w:t>
      </w:r>
      <w:r w:rsidRPr="00114AD7">
        <w:rPr>
          <w:noProof/>
          <w:sz w:val="24"/>
          <w:szCs w:val="24"/>
          <w:vertAlign w:val="subscript"/>
        </w:rPr>
        <w:t>2</w:t>
      </w:r>
      <w:r w:rsidRPr="00114AD7">
        <w:rPr>
          <w:noProof/>
          <w:sz w:val="24"/>
          <w:szCs w:val="24"/>
        </w:rPr>
        <w:t xml:space="preserve"> levels on juvenile eastern oysters, Crassostrea virginica. </w:t>
      </w:r>
      <w:r w:rsidRPr="00114AD7">
        <w:rPr>
          <w:i/>
          <w:iCs/>
          <w:noProof/>
          <w:sz w:val="24"/>
          <w:szCs w:val="24"/>
        </w:rPr>
        <w:t>The Journal of experimental biology</w:t>
      </w:r>
      <w:r w:rsidRPr="00114AD7">
        <w:rPr>
          <w:noProof/>
          <w:sz w:val="24"/>
          <w:szCs w:val="24"/>
        </w:rPr>
        <w:t xml:space="preserve">, </w:t>
      </w:r>
      <w:r w:rsidRPr="00114AD7">
        <w:rPr>
          <w:i/>
          <w:iCs/>
          <w:noProof/>
          <w:sz w:val="24"/>
          <w:szCs w:val="24"/>
        </w:rPr>
        <w:t>215</w:t>
      </w:r>
      <w:r w:rsidRPr="00114AD7">
        <w:rPr>
          <w:noProof/>
          <w:sz w:val="24"/>
          <w:szCs w:val="24"/>
        </w:rPr>
        <w:t>(Pt 1), 29–43. doi:10.1242/jeb.061481</w:t>
      </w:r>
    </w:p>
    <w:p w14:paraId="3978C6B4" w14:textId="77777777" w:rsidR="00D92FB6" w:rsidRPr="00114AD7" w:rsidRDefault="00D92FB6" w:rsidP="00D92FB6">
      <w:pPr>
        <w:pStyle w:val="NormalWeb"/>
        <w:ind w:left="480" w:hanging="480"/>
        <w:rPr>
          <w:noProof/>
          <w:sz w:val="24"/>
          <w:szCs w:val="24"/>
        </w:rPr>
      </w:pPr>
      <w:r w:rsidRPr="00114AD7">
        <w:rPr>
          <w:noProof/>
          <w:sz w:val="24"/>
          <w:szCs w:val="24"/>
        </w:rPr>
        <w:t>Dickinson, G. H., Matoo, O. B., Tourek, R. T., Sokolova, I. M., &amp; Beniash, E. (2013). Environmental salinity modulates the effects of elevated CO</w:t>
      </w:r>
      <w:r w:rsidRPr="00114AD7">
        <w:rPr>
          <w:noProof/>
          <w:sz w:val="24"/>
          <w:szCs w:val="24"/>
          <w:vertAlign w:val="subscript"/>
        </w:rPr>
        <w:t>2</w:t>
      </w:r>
      <w:r w:rsidRPr="00114AD7">
        <w:rPr>
          <w:noProof/>
          <w:sz w:val="24"/>
          <w:szCs w:val="24"/>
        </w:rPr>
        <w:t xml:space="preserve"> levels on juvenile hard-shell clams, Mercenaria mercenaria. </w:t>
      </w:r>
      <w:r w:rsidRPr="00114AD7">
        <w:rPr>
          <w:i/>
          <w:iCs/>
          <w:noProof/>
          <w:sz w:val="24"/>
          <w:szCs w:val="24"/>
        </w:rPr>
        <w:t>The Journal of experimental biology</w:t>
      </w:r>
      <w:r w:rsidRPr="00114AD7">
        <w:rPr>
          <w:noProof/>
          <w:sz w:val="24"/>
          <w:szCs w:val="24"/>
        </w:rPr>
        <w:t xml:space="preserve">, </w:t>
      </w:r>
      <w:r w:rsidRPr="00114AD7">
        <w:rPr>
          <w:i/>
          <w:iCs/>
          <w:noProof/>
          <w:sz w:val="24"/>
          <w:szCs w:val="24"/>
        </w:rPr>
        <w:t>216</w:t>
      </w:r>
      <w:r w:rsidRPr="00114AD7">
        <w:rPr>
          <w:noProof/>
          <w:sz w:val="24"/>
          <w:szCs w:val="24"/>
        </w:rPr>
        <w:t>(Pt 14), 2607–18. doi:10.1242/jeb.082909</w:t>
      </w:r>
    </w:p>
    <w:p w14:paraId="696BC9B2" w14:textId="77777777" w:rsidR="00D92FB6" w:rsidRPr="00114AD7" w:rsidRDefault="00D92FB6" w:rsidP="00D92FB6">
      <w:pPr>
        <w:pStyle w:val="NormalWeb"/>
        <w:ind w:left="480" w:hanging="480"/>
        <w:rPr>
          <w:noProof/>
          <w:sz w:val="24"/>
          <w:szCs w:val="24"/>
        </w:rPr>
      </w:pPr>
      <w:r w:rsidRPr="00114AD7">
        <w:rPr>
          <w:noProof/>
          <w:sz w:val="24"/>
          <w:szCs w:val="24"/>
        </w:rPr>
        <w:t>Dineshram, R., Thiyagarajan, V., Lane, A., Ziniu, Y., Xiao, S., &amp; Leung, P. T. Y. (2013). Elevated CO</w:t>
      </w:r>
      <w:r w:rsidRPr="00114AD7">
        <w:rPr>
          <w:noProof/>
          <w:sz w:val="24"/>
          <w:szCs w:val="24"/>
          <w:vertAlign w:val="subscript"/>
        </w:rPr>
        <w:t>2</w:t>
      </w:r>
      <w:r w:rsidRPr="00114AD7">
        <w:rPr>
          <w:noProof/>
          <w:sz w:val="24"/>
          <w:szCs w:val="24"/>
        </w:rPr>
        <w:t xml:space="preserve"> alters larval proteome and its phosphorylation status in the commercial oyster, Crassostrea hongkongensis. </w:t>
      </w:r>
      <w:r w:rsidRPr="00114AD7">
        <w:rPr>
          <w:i/>
          <w:iCs/>
          <w:noProof/>
          <w:sz w:val="24"/>
          <w:szCs w:val="24"/>
        </w:rPr>
        <w:t>Marine Biology</w:t>
      </w:r>
      <w:r w:rsidRPr="00114AD7">
        <w:rPr>
          <w:noProof/>
          <w:sz w:val="24"/>
          <w:szCs w:val="24"/>
        </w:rPr>
        <w:t xml:space="preserve">, </w:t>
      </w:r>
      <w:r w:rsidRPr="00114AD7">
        <w:rPr>
          <w:i/>
          <w:iCs/>
          <w:noProof/>
          <w:sz w:val="24"/>
          <w:szCs w:val="24"/>
        </w:rPr>
        <w:t>160</w:t>
      </w:r>
      <w:r w:rsidRPr="00114AD7">
        <w:rPr>
          <w:noProof/>
          <w:sz w:val="24"/>
          <w:szCs w:val="24"/>
        </w:rPr>
        <w:t>(8), 2189–2205. doi:10.1007/s00227-013-2176-x</w:t>
      </w:r>
    </w:p>
    <w:p w14:paraId="30E7C426" w14:textId="7B850AB3" w:rsidR="00661422" w:rsidRPr="00114AD7" w:rsidRDefault="00661422" w:rsidP="00D92FB6">
      <w:pPr>
        <w:pStyle w:val="NormalWeb"/>
        <w:ind w:left="480" w:hanging="480"/>
        <w:rPr>
          <w:noProof/>
          <w:sz w:val="24"/>
          <w:szCs w:val="24"/>
        </w:rPr>
      </w:pPr>
      <w:r w:rsidRPr="00114AD7">
        <w:rPr>
          <w:noProof/>
          <w:sz w:val="24"/>
          <w:szCs w:val="24"/>
        </w:rPr>
        <w:t xml:space="preserve">FAO (2012). </w:t>
      </w:r>
      <w:r w:rsidRPr="00114AD7">
        <w:rPr>
          <w:i/>
          <w:noProof/>
          <w:sz w:val="24"/>
          <w:szCs w:val="24"/>
        </w:rPr>
        <w:t>The State of the World Fisheries and Aquaculture</w:t>
      </w:r>
      <w:r w:rsidRPr="00114AD7">
        <w:rPr>
          <w:noProof/>
          <w:sz w:val="24"/>
          <w:szCs w:val="24"/>
        </w:rPr>
        <w:t>. Document prepared by the Food and Agriculture Orgnization of the United Nations. Technical Paper No. 564,  FAO Fisheries and Aquaculture Deparment, Rome. 209 pp.</w:t>
      </w:r>
    </w:p>
    <w:p w14:paraId="6725977D" w14:textId="77777777" w:rsidR="00D92FB6" w:rsidRPr="00114AD7" w:rsidRDefault="00D92FB6" w:rsidP="00D92FB6">
      <w:pPr>
        <w:pStyle w:val="NormalWeb"/>
        <w:ind w:left="480" w:hanging="480"/>
        <w:rPr>
          <w:noProof/>
          <w:sz w:val="24"/>
          <w:szCs w:val="24"/>
        </w:rPr>
      </w:pPr>
      <w:r w:rsidRPr="00114AD7">
        <w:rPr>
          <w:noProof/>
          <w:sz w:val="24"/>
          <w:szCs w:val="24"/>
        </w:rPr>
        <w:t xml:space="preserve">Fassbender, A. J., Sabine, C. L., Feely, R. a., Langdon, C., &amp; Mordy, C. W. (2011). Inorganic carbon dynamics during northern California coastal upwelling. </w:t>
      </w:r>
      <w:r w:rsidRPr="00114AD7">
        <w:rPr>
          <w:i/>
          <w:iCs/>
          <w:noProof/>
          <w:sz w:val="24"/>
          <w:szCs w:val="24"/>
        </w:rPr>
        <w:t>Continental Shelf Research</w:t>
      </w:r>
      <w:r w:rsidRPr="00114AD7">
        <w:rPr>
          <w:noProof/>
          <w:sz w:val="24"/>
          <w:szCs w:val="24"/>
        </w:rPr>
        <w:t xml:space="preserve">, </w:t>
      </w:r>
      <w:r w:rsidRPr="00114AD7">
        <w:rPr>
          <w:i/>
          <w:iCs/>
          <w:noProof/>
          <w:sz w:val="24"/>
          <w:szCs w:val="24"/>
        </w:rPr>
        <w:t>31</w:t>
      </w:r>
      <w:r w:rsidRPr="00114AD7">
        <w:rPr>
          <w:noProof/>
          <w:sz w:val="24"/>
          <w:szCs w:val="24"/>
        </w:rPr>
        <w:t>(11), 1180–1192. doi:10.1016/j.csr.2011.04.006</w:t>
      </w:r>
    </w:p>
    <w:p w14:paraId="283190D8" w14:textId="77777777" w:rsidR="00D92FB6" w:rsidRPr="00114AD7" w:rsidRDefault="00D92FB6" w:rsidP="00D92FB6">
      <w:pPr>
        <w:pStyle w:val="NormalWeb"/>
        <w:ind w:left="480" w:hanging="480"/>
        <w:rPr>
          <w:noProof/>
          <w:sz w:val="24"/>
          <w:szCs w:val="24"/>
        </w:rPr>
      </w:pPr>
      <w:r w:rsidRPr="00114AD7">
        <w:rPr>
          <w:noProof/>
          <w:sz w:val="24"/>
          <w:szCs w:val="24"/>
        </w:rPr>
        <w:t>Feely, R. A, Sabine, C. L., Lee, K., Berelson, W., Kleypas, J., Fabry, V. J., &amp; Millero, F. J. (2004). Impact of anthropogenic CO</w:t>
      </w:r>
      <w:r w:rsidRPr="00114AD7">
        <w:rPr>
          <w:noProof/>
          <w:sz w:val="24"/>
          <w:szCs w:val="24"/>
          <w:vertAlign w:val="subscript"/>
        </w:rPr>
        <w:t>2</w:t>
      </w:r>
      <w:r w:rsidRPr="00114AD7">
        <w:rPr>
          <w:noProof/>
          <w:sz w:val="24"/>
          <w:szCs w:val="24"/>
        </w:rPr>
        <w:t xml:space="preserve"> on the CaCO</w:t>
      </w:r>
      <w:r w:rsidRPr="00114AD7">
        <w:rPr>
          <w:noProof/>
          <w:sz w:val="24"/>
          <w:szCs w:val="24"/>
          <w:vertAlign w:val="subscript"/>
        </w:rPr>
        <w:t>3</w:t>
      </w:r>
      <w:r w:rsidRPr="00114AD7">
        <w:rPr>
          <w:noProof/>
          <w:sz w:val="24"/>
          <w:szCs w:val="24"/>
        </w:rPr>
        <w:t xml:space="preserve"> system in the oceans. </w:t>
      </w:r>
      <w:r w:rsidRPr="00114AD7">
        <w:rPr>
          <w:i/>
          <w:iCs/>
          <w:noProof/>
          <w:sz w:val="24"/>
          <w:szCs w:val="24"/>
        </w:rPr>
        <w:t>Science</w:t>
      </w:r>
      <w:r w:rsidRPr="00114AD7">
        <w:rPr>
          <w:noProof/>
          <w:sz w:val="24"/>
          <w:szCs w:val="24"/>
        </w:rPr>
        <w:t xml:space="preserve">, </w:t>
      </w:r>
      <w:r w:rsidRPr="00114AD7">
        <w:rPr>
          <w:i/>
          <w:iCs/>
          <w:noProof/>
          <w:sz w:val="24"/>
          <w:szCs w:val="24"/>
        </w:rPr>
        <w:t>305</w:t>
      </w:r>
      <w:r w:rsidRPr="00114AD7">
        <w:rPr>
          <w:noProof/>
          <w:sz w:val="24"/>
          <w:szCs w:val="24"/>
        </w:rPr>
        <w:t>(5682), 362–6. doi:10.1126/science.1097329</w:t>
      </w:r>
    </w:p>
    <w:p w14:paraId="3C579296" w14:textId="5CF2E9B0" w:rsidR="00A73320" w:rsidRPr="00114AD7" w:rsidRDefault="00A73320" w:rsidP="00D92FB6">
      <w:pPr>
        <w:pStyle w:val="NormalWeb"/>
        <w:ind w:left="480" w:hanging="480"/>
        <w:rPr>
          <w:noProof/>
          <w:sz w:val="24"/>
          <w:szCs w:val="24"/>
        </w:rPr>
      </w:pPr>
      <w:r w:rsidRPr="00114AD7">
        <w:rPr>
          <w:noProof/>
          <w:sz w:val="24"/>
          <w:szCs w:val="24"/>
        </w:rPr>
        <w:t xml:space="preserve">Feely, R.A., Sabine, C.L., Hernandez-Ayon, J.M., Ianson, D., and Hales, B. (2008). Evidence for Upwelling of Corrosive "Acidified" Water onto the Continental Shelf. </w:t>
      </w:r>
      <w:r w:rsidRPr="00114AD7">
        <w:rPr>
          <w:i/>
          <w:noProof/>
          <w:sz w:val="24"/>
          <w:szCs w:val="24"/>
        </w:rPr>
        <w:t>Science</w:t>
      </w:r>
      <w:r w:rsidRPr="00114AD7">
        <w:rPr>
          <w:noProof/>
          <w:sz w:val="24"/>
          <w:szCs w:val="24"/>
        </w:rPr>
        <w:t xml:space="preserve">, </w:t>
      </w:r>
      <w:r w:rsidRPr="00114AD7">
        <w:rPr>
          <w:i/>
          <w:noProof/>
          <w:sz w:val="24"/>
          <w:szCs w:val="24"/>
        </w:rPr>
        <w:t>320</w:t>
      </w:r>
      <w:r w:rsidRPr="00114AD7">
        <w:rPr>
          <w:noProof/>
          <w:sz w:val="24"/>
          <w:szCs w:val="24"/>
        </w:rPr>
        <w:t>, 1490-1492. doi: 10.1126/science.1155676</w:t>
      </w:r>
    </w:p>
    <w:p w14:paraId="108E80AB" w14:textId="77777777" w:rsidR="00D92FB6" w:rsidRPr="00114AD7" w:rsidRDefault="00D92FB6" w:rsidP="00D92FB6">
      <w:pPr>
        <w:pStyle w:val="NormalWeb"/>
        <w:ind w:left="480" w:hanging="480"/>
        <w:rPr>
          <w:noProof/>
          <w:sz w:val="24"/>
          <w:szCs w:val="24"/>
        </w:rPr>
      </w:pPr>
      <w:r w:rsidRPr="00114AD7">
        <w:rPr>
          <w:noProof/>
          <w:sz w:val="24"/>
          <w:szCs w:val="24"/>
        </w:rPr>
        <w:t xml:space="preserve">Feely, R. A., Alin, S. R., Newton, J., Sabine, C. L., Warner, M., Devol, A., … Maloy, C. (2010). The combined effects of ocean acidification, mixing, and respiration on pH and carbonate saturation in an urbanized estuary. </w:t>
      </w:r>
      <w:r w:rsidRPr="00114AD7">
        <w:rPr>
          <w:i/>
          <w:iCs/>
          <w:noProof/>
          <w:sz w:val="24"/>
          <w:szCs w:val="24"/>
        </w:rPr>
        <w:t>Estuarine, Coastal and Shelf Science</w:t>
      </w:r>
      <w:r w:rsidRPr="00114AD7">
        <w:rPr>
          <w:noProof/>
          <w:sz w:val="24"/>
          <w:szCs w:val="24"/>
        </w:rPr>
        <w:t xml:space="preserve">, </w:t>
      </w:r>
      <w:r w:rsidRPr="00114AD7">
        <w:rPr>
          <w:i/>
          <w:iCs/>
          <w:noProof/>
          <w:sz w:val="24"/>
          <w:szCs w:val="24"/>
        </w:rPr>
        <w:t>88</w:t>
      </w:r>
      <w:r w:rsidRPr="00114AD7">
        <w:rPr>
          <w:noProof/>
          <w:sz w:val="24"/>
          <w:szCs w:val="24"/>
        </w:rPr>
        <w:t>(4), 442–449. doi:10.1016/j.ecss.2010.05.004</w:t>
      </w:r>
    </w:p>
    <w:p w14:paraId="45EADD90" w14:textId="1F987736" w:rsidR="00D92FB6" w:rsidRPr="00114AD7" w:rsidRDefault="00D92FB6" w:rsidP="00D92FB6">
      <w:pPr>
        <w:pStyle w:val="NormalWeb"/>
        <w:ind w:left="480" w:hanging="480"/>
        <w:rPr>
          <w:noProof/>
          <w:sz w:val="24"/>
          <w:szCs w:val="24"/>
        </w:rPr>
      </w:pPr>
      <w:r w:rsidRPr="00114AD7">
        <w:rPr>
          <w:noProof/>
          <w:sz w:val="24"/>
          <w:szCs w:val="24"/>
        </w:rPr>
        <w:t>Feely, R. A., Sabine, C. L., Byrne, R. H., Millero, F. J., Dickson,</w:t>
      </w:r>
      <w:r w:rsidR="00791791">
        <w:rPr>
          <w:noProof/>
          <w:sz w:val="24"/>
          <w:szCs w:val="24"/>
        </w:rPr>
        <w:t xml:space="preserve"> A. G., Wanninkhof, R., Murata, A., Miller, L.A., &amp;</w:t>
      </w:r>
      <w:r w:rsidRPr="00114AD7">
        <w:rPr>
          <w:noProof/>
          <w:sz w:val="24"/>
          <w:szCs w:val="24"/>
        </w:rPr>
        <w:t xml:space="preserve"> Greeley, D. (2012). Decadal changes in the aragonite and calcite saturation state of the Pacific Ocean. </w:t>
      </w:r>
      <w:r w:rsidRPr="00114AD7">
        <w:rPr>
          <w:i/>
          <w:iCs/>
          <w:noProof/>
          <w:sz w:val="24"/>
          <w:szCs w:val="24"/>
        </w:rPr>
        <w:t>Global Biogeochemical Cycles</w:t>
      </w:r>
      <w:r w:rsidRPr="00114AD7">
        <w:rPr>
          <w:noProof/>
          <w:sz w:val="24"/>
          <w:szCs w:val="24"/>
        </w:rPr>
        <w:t xml:space="preserve">, </w:t>
      </w:r>
      <w:r w:rsidRPr="00114AD7">
        <w:rPr>
          <w:i/>
          <w:iCs/>
          <w:noProof/>
          <w:sz w:val="24"/>
          <w:szCs w:val="24"/>
        </w:rPr>
        <w:t>26</w:t>
      </w:r>
      <w:r w:rsidRPr="00114AD7">
        <w:rPr>
          <w:noProof/>
          <w:sz w:val="24"/>
          <w:szCs w:val="24"/>
        </w:rPr>
        <w:t>(3), GB3001. doi:10.1029/2011GB004157</w:t>
      </w:r>
    </w:p>
    <w:p w14:paraId="4F4643F5" w14:textId="25E025BF" w:rsidR="000362D9" w:rsidRPr="00114AD7" w:rsidRDefault="000362D9" w:rsidP="00D92FB6">
      <w:pPr>
        <w:pStyle w:val="NormalWeb"/>
        <w:ind w:left="480" w:hanging="480"/>
        <w:rPr>
          <w:noProof/>
          <w:sz w:val="24"/>
          <w:szCs w:val="24"/>
        </w:rPr>
      </w:pPr>
      <w:r w:rsidRPr="00114AD7">
        <w:rPr>
          <w:noProof/>
          <w:sz w:val="24"/>
          <w:szCs w:val="24"/>
        </w:rPr>
        <w:t xml:space="preserve">Galtsoff, P.S. (1930). The Role of Chemical Stimulation in the Spawning Reactions of </w:t>
      </w:r>
      <w:r w:rsidRPr="00114AD7">
        <w:rPr>
          <w:i/>
          <w:noProof/>
          <w:sz w:val="24"/>
          <w:szCs w:val="24"/>
        </w:rPr>
        <w:t>Ostrea virginica</w:t>
      </w:r>
      <w:r w:rsidRPr="00114AD7">
        <w:rPr>
          <w:noProof/>
          <w:sz w:val="24"/>
          <w:szCs w:val="24"/>
        </w:rPr>
        <w:t xml:space="preserve"> and </w:t>
      </w:r>
      <w:r w:rsidRPr="00114AD7">
        <w:rPr>
          <w:i/>
          <w:noProof/>
          <w:sz w:val="24"/>
          <w:szCs w:val="24"/>
        </w:rPr>
        <w:t>Ostrea gigas</w:t>
      </w:r>
      <w:r w:rsidRPr="00114AD7">
        <w:rPr>
          <w:noProof/>
          <w:sz w:val="24"/>
          <w:szCs w:val="24"/>
        </w:rPr>
        <w:t xml:space="preserve">. </w:t>
      </w:r>
      <w:r w:rsidRPr="00114AD7">
        <w:rPr>
          <w:i/>
          <w:noProof/>
          <w:sz w:val="24"/>
          <w:szCs w:val="24"/>
        </w:rPr>
        <w:t>PNAS</w:t>
      </w:r>
      <w:r w:rsidRPr="00114AD7">
        <w:rPr>
          <w:noProof/>
          <w:sz w:val="24"/>
          <w:szCs w:val="24"/>
        </w:rPr>
        <w:t xml:space="preserve">, </w:t>
      </w:r>
      <w:r w:rsidRPr="00114AD7">
        <w:rPr>
          <w:i/>
          <w:noProof/>
          <w:sz w:val="24"/>
          <w:szCs w:val="24"/>
        </w:rPr>
        <w:t>16</w:t>
      </w:r>
      <w:r w:rsidRPr="00114AD7">
        <w:rPr>
          <w:noProof/>
          <w:sz w:val="24"/>
          <w:szCs w:val="24"/>
        </w:rPr>
        <w:t>(9), 555-559.</w:t>
      </w:r>
    </w:p>
    <w:p w14:paraId="5E42B50D" w14:textId="6E0B77E4" w:rsidR="00D92FB6" w:rsidRPr="00114AD7" w:rsidRDefault="00D92FB6" w:rsidP="00D92FB6">
      <w:pPr>
        <w:pStyle w:val="NormalWeb"/>
        <w:ind w:left="480" w:hanging="480"/>
        <w:rPr>
          <w:noProof/>
          <w:sz w:val="24"/>
          <w:szCs w:val="24"/>
        </w:rPr>
      </w:pPr>
      <w:r w:rsidRPr="00114AD7">
        <w:rPr>
          <w:noProof/>
          <w:sz w:val="24"/>
          <w:szCs w:val="24"/>
        </w:rPr>
        <w:t>Gaylord, B., Hill, T. M., Sanford, E., Lenz, E.</w:t>
      </w:r>
      <w:r w:rsidR="00791791">
        <w:rPr>
          <w:noProof/>
          <w:sz w:val="24"/>
          <w:szCs w:val="24"/>
        </w:rPr>
        <w:t>A., Jacobs, L.A., Sato, K. N., Russell, A.D., &amp;</w:t>
      </w:r>
      <w:r w:rsidRPr="00114AD7">
        <w:rPr>
          <w:noProof/>
          <w:sz w:val="24"/>
          <w:szCs w:val="24"/>
        </w:rPr>
        <w:t xml:space="preserve"> Hettinger, A. (2011). Functional impacts of ocean acidification in an ecologically critical foundation species. </w:t>
      </w:r>
      <w:r w:rsidRPr="00114AD7">
        <w:rPr>
          <w:i/>
          <w:iCs/>
          <w:noProof/>
          <w:sz w:val="24"/>
          <w:szCs w:val="24"/>
        </w:rPr>
        <w:t>The Journal of experimental biology</w:t>
      </w:r>
      <w:r w:rsidRPr="00114AD7">
        <w:rPr>
          <w:noProof/>
          <w:sz w:val="24"/>
          <w:szCs w:val="24"/>
        </w:rPr>
        <w:t xml:space="preserve">, </w:t>
      </w:r>
      <w:r w:rsidRPr="00114AD7">
        <w:rPr>
          <w:i/>
          <w:iCs/>
          <w:noProof/>
          <w:sz w:val="24"/>
          <w:szCs w:val="24"/>
        </w:rPr>
        <w:t>214</w:t>
      </w:r>
      <w:r w:rsidRPr="00114AD7">
        <w:rPr>
          <w:noProof/>
          <w:sz w:val="24"/>
          <w:szCs w:val="24"/>
        </w:rPr>
        <w:t>(Pt 15), 2586–94. doi:10.1242/jeb.055939</w:t>
      </w:r>
    </w:p>
    <w:p w14:paraId="4028A876" w14:textId="77777777" w:rsidR="00D92FB6" w:rsidRPr="00114AD7" w:rsidRDefault="00D92FB6" w:rsidP="00D92FB6">
      <w:pPr>
        <w:pStyle w:val="NormalWeb"/>
        <w:ind w:left="480" w:hanging="480"/>
        <w:rPr>
          <w:noProof/>
          <w:sz w:val="24"/>
          <w:szCs w:val="24"/>
        </w:rPr>
      </w:pPr>
      <w:r w:rsidRPr="00114AD7">
        <w:rPr>
          <w:noProof/>
          <w:sz w:val="24"/>
          <w:szCs w:val="24"/>
        </w:rPr>
        <w:t xml:space="preserve">Gazeau, F., Quiblier, C., Jansen, J. M., Gattuso, J.-P., Middelburg, J. J., &amp; Heip, C. H. R. (2007). Impact of elevated CO 2 on shellfish calcification. </w:t>
      </w:r>
      <w:r w:rsidRPr="00114AD7">
        <w:rPr>
          <w:i/>
          <w:iCs/>
          <w:noProof/>
          <w:sz w:val="24"/>
          <w:szCs w:val="24"/>
        </w:rPr>
        <w:t>Geophysical Research Letters</w:t>
      </w:r>
      <w:r w:rsidRPr="00114AD7">
        <w:rPr>
          <w:noProof/>
          <w:sz w:val="24"/>
          <w:szCs w:val="24"/>
        </w:rPr>
        <w:t xml:space="preserve">, </w:t>
      </w:r>
      <w:r w:rsidRPr="00114AD7">
        <w:rPr>
          <w:i/>
          <w:iCs/>
          <w:noProof/>
          <w:sz w:val="24"/>
          <w:szCs w:val="24"/>
        </w:rPr>
        <w:t>34</w:t>
      </w:r>
      <w:r w:rsidRPr="00114AD7">
        <w:rPr>
          <w:noProof/>
          <w:sz w:val="24"/>
          <w:szCs w:val="24"/>
        </w:rPr>
        <w:t>(7), L07603. doi:10.1029/2006GL028554</w:t>
      </w:r>
    </w:p>
    <w:p w14:paraId="72D3908E" w14:textId="77777777" w:rsidR="00D92FB6" w:rsidRPr="00114AD7" w:rsidRDefault="00D92FB6" w:rsidP="00D92FB6">
      <w:pPr>
        <w:pStyle w:val="NormalWeb"/>
        <w:ind w:left="480" w:hanging="480"/>
        <w:rPr>
          <w:noProof/>
          <w:sz w:val="24"/>
          <w:szCs w:val="24"/>
        </w:rPr>
      </w:pPr>
      <w:r w:rsidRPr="00114AD7">
        <w:rPr>
          <w:noProof/>
          <w:sz w:val="24"/>
          <w:szCs w:val="24"/>
        </w:rPr>
        <w:t xml:space="preserve">Gruber, N., Hauri, C., Lachkar, Z., Loher, D., Frölicher, T. L., &amp; Plattner, G.-K. (2012). Rapid progression of ocean acidification in the California Current System. </w:t>
      </w:r>
      <w:r w:rsidRPr="00114AD7">
        <w:rPr>
          <w:i/>
          <w:iCs/>
          <w:noProof/>
          <w:sz w:val="24"/>
          <w:szCs w:val="24"/>
        </w:rPr>
        <w:t>Science</w:t>
      </w:r>
      <w:r w:rsidRPr="00114AD7">
        <w:rPr>
          <w:noProof/>
          <w:sz w:val="24"/>
          <w:szCs w:val="24"/>
        </w:rPr>
        <w:t xml:space="preserve">, </w:t>
      </w:r>
      <w:r w:rsidRPr="00114AD7">
        <w:rPr>
          <w:i/>
          <w:iCs/>
          <w:noProof/>
          <w:sz w:val="24"/>
          <w:szCs w:val="24"/>
        </w:rPr>
        <w:t>337</w:t>
      </w:r>
      <w:r w:rsidRPr="00114AD7">
        <w:rPr>
          <w:noProof/>
          <w:sz w:val="24"/>
          <w:szCs w:val="24"/>
        </w:rPr>
        <w:t>(6091), 220–3. doi:10.1126/science.1216773</w:t>
      </w:r>
    </w:p>
    <w:p w14:paraId="030CE9EA" w14:textId="5418E9FB" w:rsidR="005643FD" w:rsidRPr="00114AD7" w:rsidRDefault="005643FD" w:rsidP="005643FD">
      <w:pPr>
        <w:ind w:left="720" w:hanging="720"/>
        <w:rPr>
          <w:rFonts w:ascii="Times" w:hAnsi="Times"/>
        </w:rPr>
      </w:pPr>
      <w:r w:rsidRPr="00114AD7">
        <w:rPr>
          <w:rFonts w:ascii="Times" w:hAnsi="Times"/>
        </w:rPr>
        <w:t>Hauri C, Gruber N, Plattner G-K, Alin S, Feely RA, Hales B, Wheeler PA (2009) Ocean acidification in the California Current System. Oceanography 22: 60-71</w:t>
      </w:r>
    </w:p>
    <w:p w14:paraId="7057936A" w14:textId="514F9AEB" w:rsidR="00F831A9" w:rsidRPr="00114AD7" w:rsidRDefault="00F831A9" w:rsidP="00D92FB6">
      <w:pPr>
        <w:pStyle w:val="NormalWeb"/>
        <w:ind w:left="480" w:hanging="480"/>
        <w:rPr>
          <w:noProof/>
          <w:sz w:val="24"/>
          <w:szCs w:val="24"/>
        </w:rPr>
      </w:pPr>
      <w:r w:rsidRPr="00114AD7">
        <w:rPr>
          <w:noProof/>
          <w:sz w:val="24"/>
          <w:szCs w:val="24"/>
        </w:rPr>
        <w:t>Hedgecock, D., Lin, J.-Z., DeCola, S., Haudenschild, C.D., Meyer, E., Manahan, D.T., and Bowen, B. (2006). Transcriptomic analysis of growth heterosis in larval Pacific oysters (</w:t>
      </w:r>
      <w:r w:rsidRPr="00114AD7">
        <w:rPr>
          <w:i/>
          <w:noProof/>
          <w:sz w:val="24"/>
          <w:szCs w:val="24"/>
        </w:rPr>
        <w:t>Crassostrea gigas</w:t>
      </w:r>
      <w:r w:rsidRPr="00114AD7">
        <w:rPr>
          <w:noProof/>
          <w:sz w:val="24"/>
          <w:szCs w:val="24"/>
        </w:rPr>
        <w:t xml:space="preserve">). </w:t>
      </w:r>
      <w:r w:rsidRPr="00114AD7">
        <w:rPr>
          <w:i/>
          <w:noProof/>
          <w:sz w:val="24"/>
          <w:szCs w:val="24"/>
        </w:rPr>
        <w:t>PNAS</w:t>
      </w:r>
      <w:r w:rsidRPr="00114AD7">
        <w:rPr>
          <w:noProof/>
          <w:sz w:val="24"/>
          <w:szCs w:val="24"/>
        </w:rPr>
        <w:t xml:space="preserve">, </w:t>
      </w:r>
      <w:r w:rsidRPr="00114AD7">
        <w:rPr>
          <w:i/>
          <w:noProof/>
          <w:sz w:val="24"/>
          <w:szCs w:val="24"/>
        </w:rPr>
        <w:t>104</w:t>
      </w:r>
      <w:r w:rsidRPr="00114AD7">
        <w:rPr>
          <w:noProof/>
          <w:sz w:val="24"/>
          <w:szCs w:val="24"/>
        </w:rPr>
        <w:t>(7), 2313-2318.</w:t>
      </w:r>
    </w:p>
    <w:p w14:paraId="395D81AF" w14:textId="2006EE55" w:rsidR="00D92FB6" w:rsidRPr="00114AD7" w:rsidRDefault="00D92FB6" w:rsidP="00D92FB6">
      <w:pPr>
        <w:pStyle w:val="NormalWeb"/>
        <w:ind w:left="480" w:hanging="480"/>
        <w:rPr>
          <w:noProof/>
          <w:sz w:val="24"/>
          <w:szCs w:val="24"/>
        </w:rPr>
      </w:pPr>
      <w:r w:rsidRPr="00114AD7">
        <w:rPr>
          <w:noProof/>
          <w:sz w:val="24"/>
          <w:szCs w:val="24"/>
        </w:rPr>
        <w:t xml:space="preserve">Hettinger, A., Sanford, E., Hill, T. M., Russell, A. </w:t>
      </w:r>
      <w:r w:rsidR="00791791">
        <w:rPr>
          <w:noProof/>
          <w:sz w:val="24"/>
          <w:szCs w:val="24"/>
        </w:rPr>
        <w:t xml:space="preserve">D., Sato, K. N. S., Hoey, J., Forsch, M., Page, H.N., &amp; </w:t>
      </w:r>
      <w:r w:rsidRPr="00114AD7">
        <w:rPr>
          <w:noProof/>
          <w:sz w:val="24"/>
          <w:szCs w:val="24"/>
        </w:rPr>
        <w:t xml:space="preserve">Gaylord, B. (2012). Persistent carry-over effects of planktonic exposure to ocean acidification in the Olympia oyster. </w:t>
      </w:r>
      <w:r w:rsidRPr="00114AD7">
        <w:rPr>
          <w:i/>
          <w:iCs/>
          <w:noProof/>
          <w:sz w:val="24"/>
          <w:szCs w:val="24"/>
        </w:rPr>
        <w:t>Ecology</w:t>
      </w:r>
      <w:r w:rsidRPr="00114AD7">
        <w:rPr>
          <w:noProof/>
          <w:sz w:val="24"/>
          <w:szCs w:val="24"/>
        </w:rPr>
        <w:t xml:space="preserve">, </w:t>
      </w:r>
      <w:r w:rsidRPr="00114AD7">
        <w:rPr>
          <w:i/>
          <w:iCs/>
          <w:noProof/>
          <w:sz w:val="24"/>
          <w:szCs w:val="24"/>
        </w:rPr>
        <w:t>93</w:t>
      </w:r>
      <w:r w:rsidRPr="00114AD7">
        <w:rPr>
          <w:noProof/>
          <w:sz w:val="24"/>
          <w:szCs w:val="24"/>
        </w:rPr>
        <w:t>(12), 2758–68. Retrieved from http://www.ncbi.nlm.nih.gov/pubmed/23431605</w:t>
      </w:r>
    </w:p>
    <w:p w14:paraId="5344F834" w14:textId="77777777" w:rsidR="00D92FB6" w:rsidRPr="00114AD7" w:rsidRDefault="00D92FB6" w:rsidP="00D92FB6">
      <w:pPr>
        <w:pStyle w:val="NormalWeb"/>
        <w:ind w:left="480" w:hanging="480"/>
        <w:rPr>
          <w:noProof/>
          <w:sz w:val="24"/>
          <w:szCs w:val="24"/>
        </w:rPr>
      </w:pPr>
      <w:r w:rsidRPr="00114AD7">
        <w:rPr>
          <w:noProof/>
          <w:sz w:val="24"/>
          <w:szCs w:val="24"/>
        </w:rPr>
        <w:t xml:space="preserve">Hönisch, B., Hemming, N. G., Archer, D., Siddall, M., &amp; McManus, J. F. (2009). Atmospheric carbon dioxide concentration across the mid-Pleistocene transition. </w:t>
      </w:r>
      <w:r w:rsidRPr="00114AD7">
        <w:rPr>
          <w:i/>
          <w:iCs/>
          <w:noProof/>
          <w:sz w:val="24"/>
          <w:szCs w:val="24"/>
        </w:rPr>
        <w:t>Science</w:t>
      </w:r>
      <w:r w:rsidRPr="00114AD7">
        <w:rPr>
          <w:noProof/>
          <w:sz w:val="24"/>
          <w:szCs w:val="24"/>
        </w:rPr>
        <w:t xml:space="preserve">, </w:t>
      </w:r>
      <w:r w:rsidRPr="00114AD7">
        <w:rPr>
          <w:i/>
          <w:iCs/>
          <w:noProof/>
          <w:sz w:val="24"/>
          <w:szCs w:val="24"/>
        </w:rPr>
        <w:t>324</w:t>
      </w:r>
      <w:r w:rsidRPr="00114AD7">
        <w:rPr>
          <w:noProof/>
          <w:sz w:val="24"/>
          <w:szCs w:val="24"/>
        </w:rPr>
        <w:t>(5934), 1551–4. doi:10.1126/science.1171477</w:t>
      </w:r>
    </w:p>
    <w:p w14:paraId="17F2D6BC" w14:textId="77777777" w:rsidR="00D92FB6" w:rsidRPr="00114AD7" w:rsidRDefault="00D92FB6" w:rsidP="00D92FB6">
      <w:pPr>
        <w:pStyle w:val="NormalWeb"/>
        <w:ind w:left="480" w:hanging="480"/>
        <w:rPr>
          <w:noProof/>
          <w:sz w:val="24"/>
          <w:szCs w:val="24"/>
        </w:rPr>
      </w:pPr>
      <w:r w:rsidRPr="00114AD7">
        <w:rPr>
          <w:noProof/>
          <w:sz w:val="24"/>
          <w:szCs w:val="24"/>
        </w:rPr>
        <w:t xml:space="preserve">Hu, X., &amp; Cai, W.-J. (2013). Estuarine acidification and minimum buffer zone-A conceptual study. </w:t>
      </w:r>
      <w:r w:rsidRPr="00114AD7">
        <w:rPr>
          <w:i/>
          <w:iCs/>
          <w:noProof/>
          <w:sz w:val="24"/>
          <w:szCs w:val="24"/>
        </w:rPr>
        <w:t>Geophysical Research Letters</w:t>
      </w:r>
      <w:r w:rsidRPr="00114AD7">
        <w:rPr>
          <w:noProof/>
          <w:sz w:val="24"/>
          <w:szCs w:val="24"/>
        </w:rPr>
        <w:t xml:space="preserve">, </w:t>
      </w:r>
      <w:r w:rsidRPr="00114AD7">
        <w:rPr>
          <w:i/>
          <w:iCs/>
          <w:noProof/>
          <w:sz w:val="24"/>
          <w:szCs w:val="24"/>
        </w:rPr>
        <w:t>40</w:t>
      </w:r>
      <w:r w:rsidRPr="00114AD7">
        <w:rPr>
          <w:noProof/>
          <w:sz w:val="24"/>
          <w:szCs w:val="24"/>
        </w:rPr>
        <w:t>(19), 5176–5181. doi:10.1002/grl.51000</w:t>
      </w:r>
    </w:p>
    <w:p w14:paraId="76C838A8" w14:textId="7A326CCE" w:rsidR="00661422" w:rsidRPr="00114AD7" w:rsidRDefault="00661422" w:rsidP="00D92FB6">
      <w:pPr>
        <w:pStyle w:val="NormalWeb"/>
        <w:ind w:left="480" w:hanging="480"/>
        <w:rPr>
          <w:noProof/>
          <w:sz w:val="24"/>
          <w:szCs w:val="24"/>
        </w:rPr>
      </w:pPr>
      <w:r w:rsidRPr="00114AD7">
        <w:rPr>
          <w:sz w:val="24"/>
          <w:szCs w:val="24"/>
        </w:rPr>
        <w:t>Intergovernmental Panel on Climate Change (IPCC) (2007) Contribution of Working Groups I, II, and III to the Fourth Assessment Report of the Intergovernmental Panel on Climate Change. Pachauri, R.K., Reisinger, A. (Eds.), IPCC, Geneva, Switzerland, pp. 104</w:t>
      </w:r>
    </w:p>
    <w:p w14:paraId="5A2496BA" w14:textId="1007D842" w:rsidR="00D92FB6" w:rsidRPr="00114AD7" w:rsidRDefault="00D92FB6" w:rsidP="00D92FB6">
      <w:pPr>
        <w:pStyle w:val="NormalWeb"/>
        <w:ind w:left="480" w:hanging="480"/>
        <w:rPr>
          <w:noProof/>
          <w:sz w:val="24"/>
          <w:szCs w:val="24"/>
        </w:rPr>
      </w:pPr>
      <w:r w:rsidRPr="00114AD7">
        <w:rPr>
          <w:noProof/>
          <w:sz w:val="24"/>
          <w:szCs w:val="24"/>
        </w:rPr>
        <w:t>Jones, B. M., Iglesias-Rodriguez, M. D., Skipp, P. J., Edwards, R. J.,</w:t>
      </w:r>
      <w:r w:rsidR="00791791">
        <w:rPr>
          <w:noProof/>
          <w:sz w:val="24"/>
          <w:szCs w:val="24"/>
        </w:rPr>
        <w:t xml:space="preserve"> Greaves, M. J., Young, J. R., Elderfield, H., &amp;</w:t>
      </w:r>
      <w:r w:rsidRPr="00114AD7">
        <w:rPr>
          <w:noProof/>
          <w:sz w:val="24"/>
          <w:szCs w:val="24"/>
        </w:rPr>
        <w:t xml:space="preserve"> O’Connor, C. D. (2013). Responses of the Emiliania huxleyi proteome to ocean acidification. </w:t>
      </w:r>
      <w:r w:rsidRPr="00114AD7">
        <w:rPr>
          <w:i/>
          <w:iCs/>
          <w:noProof/>
          <w:sz w:val="24"/>
          <w:szCs w:val="24"/>
        </w:rPr>
        <w:t>PloS one</w:t>
      </w:r>
      <w:r w:rsidRPr="00114AD7">
        <w:rPr>
          <w:noProof/>
          <w:sz w:val="24"/>
          <w:szCs w:val="24"/>
        </w:rPr>
        <w:t xml:space="preserve">, </w:t>
      </w:r>
      <w:r w:rsidRPr="00114AD7">
        <w:rPr>
          <w:i/>
          <w:iCs/>
          <w:noProof/>
          <w:sz w:val="24"/>
          <w:szCs w:val="24"/>
        </w:rPr>
        <w:t>8</w:t>
      </w:r>
      <w:r w:rsidRPr="00114AD7">
        <w:rPr>
          <w:noProof/>
          <w:sz w:val="24"/>
          <w:szCs w:val="24"/>
        </w:rPr>
        <w:t>(4), e61868. doi:10.1371/journal.pone.0061868</w:t>
      </w:r>
    </w:p>
    <w:p w14:paraId="125A961E" w14:textId="2D5AB391" w:rsidR="00C7287C" w:rsidRPr="00114AD7" w:rsidRDefault="00C7287C" w:rsidP="00D92FB6">
      <w:pPr>
        <w:pStyle w:val="NormalWeb"/>
        <w:ind w:left="480" w:hanging="480"/>
        <w:rPr>
          <w:noProof/>
          <w:sz w:val="24"/>
          <w:szCs w:val="24"/>
        </w:rPr>
      </w:pPr>
      <w:r w:rsidRPr="00114AD7">
        <w:rPr>
          <w:noProof/>
          <w:sz w:val="24"/>
          <w:szCs w:val="24"/>
        </w:rPr>
        <w:t xml:space="preserve">Kaplan, D.M., Largier, J.L., Navarrete, S., Guiñez, R., Castilla, J.C. (2003). Large diurnal temperature fluctuations in the nearshore water column. </w:t>
      </w:r>
      <w:r w:rsidRPr="00114AD7">
        <w:rPr>
          <w:i/>
          <w:noProof/>
          <w:sz w:val="24"/>
          <w:szCs w:val="24"/>
        </w:rPr>
        <w:t>Estuarine Coastal and Shelf Science</w:t>
      </w:r>
      <w:r w:rsidRPr="00114AD7">
        <w:rPr>
          <w:noProof/>
          <w:sz w:val="24"/>
          <w:szCs w:val="24"/>
        </w:rPr>
        <w:t xml:space="preserve">, </w:t>
      </w:r>
      <w:r w:rsidRPr="00114AD7">
        <w:rPr>
          <w:i/>
          <w:noProof/>
          <w:sz w:val="24"/>
          <w:szCs w:val="24"/>
        </w:rPr>
        <w:t>57</w:t>
      </w:r>
      <w:r w:rsidRPr="00114AD7">
        <w:rPr>
          <w:noProof/>
          <w:sz w:val="24"/>
          <w:szCs w:val="24"/>
        </w:rPr>
        <w:t>, 385-398.</w:t>
      </w:r>
    </w:p>
    <w:p w14:paraId="48B752C2" w14:textId="77777777" w:rsidR="00D92FB6" w:rsidRPr="00114AD7" w:rsidRDefault="00D92FB6" w:rsidP="00D92FB6">
      <w:pPr>
        <w:pStyle w:val="NormalWeb"/>
        <w:ind w:left="480" w:hanging="480"/>
        <w:rPr>
          <w:noProof/>
          <w:sz w:val="24"/>
          <w:szCs w:val="24"/>
        </w:rPr>
      </w:pPr>
      <w:r w:rsidRPr="00114AD7">
        <w:rPr>
          <w:noProof/>
          <w:sz w:val="24"/>
          <w:szCs w:val="24"/>
        </w:rPr>
        <w:t xml:space="preserve">Kelly, M. W., Padilla-Gamiño, J. L., &amp; Hofmann, G. E. (2013). Natural variation and the capacity to adapt to ocean acidification in the keystone sea urchin Strongylocentrotus purpuratus. </w:t>
      </w:r>
      <w:r w:rsidRPr="00114AD7">
        <w:rPr>
          <w:i/>
          <w:iCs/>
          <w:noProof/>
          <w:sz w:val="24"/>
          <w:szCs w:val="24"/>
        </w:rPr>
        <w:t>Global change biology</w:t>
      </w:r>
      <w:r w:rsidRPr="00114AD7">
        <w:rPr>
          <w:noProof/>
          <w:sz w:val="24"/>
          <w:szCs w:val="24"/>
        </w:rPr>
        <w:t xml:space="preserve">, </w:t>
      </w:r>
      <w:r w:rsidRPr="00114AD7">
        <w:rPr>
          <w:i/>
          <w:iCs/>
          <w:noProof/>
          <w:sz w:val="24"/>
          <w:szCs w:val="24"/>
        </w:rPr>
        <w:t>19</w:t>
      </w:r>
      <w:r w:rsidRPr="00114AD7">
        <w:rPr>
          <w:noProof/>
          <w:sz w:val="24"/>
          <w:szCs w:val="24"/>
        </w:rPr>
        <w:t>(8), 2536–46. doi:10.1111/gcb.12251</w:t>
      </w:r>
    </w:p>
    <w:p w14:paraId="3BEEB99D" w14:textId="570433CD" w:rsidR="00D92FB6" w:rsidRPr="00114AD7" w:rsidRDefault="00D92FB6" w:rsidP="00D92FB6">
      <w:pPr>
        <w:pStyle w:val="NormalWeb"/>
        <w:ind w:left="480" w:hanging="480"/>
        <w:rPr>
          <w:noProof/>
          <w:sz w:val="24"/>
          <w:szCs w:val="24"/>
        </w:rPr>
      </w:pPr>
      <w:r w:rsidRPr="00114AD7">
        <w:rPr>
          <w:noProof/>
          <w:sz w:val="24"/>
          <w:szCs w:val="24"/>
        </w:rPr>
        <w:t>Kurihar</w:t>
      </w:r>
      <w:r w:rsidR="00791791">
        <w:rPr>
          <w:noProof/>
          <w:sz w:val="24"/>
          <w:szCs w:val="24"/>
        </w:rPr>
        <w:t>a, H., Kato, S., &amp; Ishimatsu, A</w:t>
      </w:r>
      <w:r w:rsidRPr="00114AD7">
        <w:rPr>
          <w:noProof/>
          <w:sz w:val="24"/>
          <w:szCs w:val="24"/>
        </w:rPr>
        <w:t>. (2007). Effects of increased seawater pCO</w:t>
      </w:r>
      <w:r w:rsidRPr="00114AD7">
        <w:rPr>
          <w:noProof/>
          <w:sz w:val="24"/>
          <w:szCs w:val="24"/>
          <w:vertAlign w:val="subscript"/>
        </w:rPr>
        <w:t>2</w:t>
      </w:r>
      <w:r w:rsidRPr="00114AD7">
        <w:rPr>
          <w:noProof/>
          <w:sz w:val="24"/>
          <w:szCs w:val="24"/>
        </w:rPr>
        <w:t xml:space="preserve"> on early development of the oyster Crassostrea gigas. </w:t>
      </w:r>
      <w:r w:rsidRPr="00114AD7">
        <w:rPr>
          <w:i/>
          <w:iCs/>
          <w:noProof/>
          <w:sz w:val="24"/>
          <w:szCs w:val="24"/>
        </w:rPr>
        <w:t>Aquatic Biology</w:t>
      </w:r>
      <w:r w:rsidRPr="00114AD7">
        <w:rPr>
          <w:noProof/>
          <w:sz w:val="24"/>
          <w:szCs w:val="24"/>
        </w:rPr>
        <w:t xml:space="preserve">, </w:t>
      </w:r>
      <w:r w:rsidRPr="00114AD7">
        <w:rPr>
          <w:i/>
          <w:iCs/>
          <w:noProof/>
          <w:sz w:val="24"/>
          <w:szCs w:val="24"/>
        </w:rPr>
        <w:t>1</w:t>
      </w:r>
      <w:r w:rsidRPr="00114AD7">
        <w:rPr>
          <w:noProof/>
          <w:sz w:val="24"/>
          <w:szCs w:val="24"/>
        </w:rPr>
        <w:t>(1), 91–98. doi:10.3354/ab00009</w:t>
      </w:r>
    </w:p>
    <w:p w14:paraId="50538D68" w14:textId="77777777" w:rsidR="00D92FB6" w:rsidRPr="00114AD7" w:rsidRDefault="00D92FB6" w:rsidP="00D92FB6">
      <w:pPr>
        <w:pStyle w:val="NormalWeb"/>
        <w:ind w:left="480" w:hanging="480"/>
        <w:rPr>
          <w:noProof/>
          <w:sz w:val="24"/>
          <w:szCs w:val="24"/>
        </w:rPr>
      </w:pPr>
      <w:r w:rsidRPr="00114AD7">
        <w:rPr>
          <w:noProof/>
          <w:sz w:val="24"/>
          <w:szCs w:val="24"/>
        </w:rPr>
        <w:t xml:space="preserve">Lannig, G., Eilers, S., Pörtner, H. O., Sokolova, I. M., &amp; Bock, C. (2010). Impact of ocean acidification on energy metabolism of oyster, Crassostrea gigas--changes in metabolic pathways and thermal response. </w:t>
      </w:r>
      <w:r w:rsidRPr="00114AD7">
        <w:rPr>
          <w:i/>
          <w:iCs/>
          <w:noProof/>
          <w:sz w:val="24"/>
          <w:szCs w:val="24"/>
        </w:rPr>
        <w:t>Marine drugs</w:t>
      </w:r>
      <w:r w:rsidRPr="00114AD7">
        <w:rPr>
          <w:noProof/>
          <w:sz w:val="24"/>
          <w:szCs w:val="24"/>
        </w:rPr>
        <w:t xml:space="preserve">, </w:t>
      </w:r>
      <w:r w:rsidRPr="00114AD7">
        <w:rPr>
          <w:i/>
          <w:iCs/>
          <w:noProof/>
          <w:sz w:val="24"/>
          <w:szCs w:val="24"/>
        </w:rPr>
        <w:t>8</w:t>
      </w:r>
      <w:r w:rsidRPr="00114AD7">
        <w:rPr>
          <w:noProof/>
          <w:sz w:val="24"/>
          <w:szCs w:val="24"/>
        </w:rPr>
        <w:t>(8), 2318–39. doi:10.3390/md8082318</w:t>
      </w:r>
    </w:p>
    <w:p w14:paraId="3064B2A9" w14:textId="6BAE36AC" w:rsidR="00D92FB6" w:rsidRPr="00114AD7" w:rsidRDefault="00D92FB6" w:rsidP="00D92FB6">
      <w:pPr>
        <w:pStyle w:val="NormalWeb"/>
        <w:ind w:left="480" w:hanging="480"/>
        <w:rPr>
          <w:noProof/>
          <w:sz w:val="24"/>
          <w:szCs w:val="24"/>
        </w:rPr>
      </w:pPr>
      <w:r w:rsidRPr="00114AD7">
        <w:rPr>
          <w:noProof/>
          <w:sz w:val="24"/>
          <w:szCs w:val="24"/>
        </w:rPr>
        <w:t>Letendre, J., Dupont-Rouzeyrol, M., Hanquet, A.-C., Durand, F., Budzinsk</w:t>
      </w:r>
      <w:r w:rsidR="00791791">
        <w:rPr>
          <w:noProof/>
          <w:sz w:val="24"/>
          <w:szCs w:val="24"/>
        </w:rPr>
        <w:t>i, H., Chan, P., Vaudry, D., &amp;</w:t>
      </w:r>
      <w:r w:rsidRPr="00114AD7">
        <w:rPr>
          <w:noProof/>
          <w:sz w:val="24"/>
          <w:szCs w:val="24"/>
        </w:rPr>
        <w:t xml:space="preserve"> Rocher, B. (2011). Impact of toxicant exposure on the proteomic response to intertidal condition in Mytilus edulis. </w:t>
      </w:r>
      <w:r w:rsidRPr="00114AD7">
        <w:rPr>
          <w:i/>
          <w:iCs/>
          <w:noProof/>
          <w:sz w:val="24"/>
          <w:szCs w:val="24"/>
        </w:rPr>
        <w:t>Comparative biochemistry and physiology. Part D, Genomics &amp; proteomics</w:t>
      </w:r>
      <w:r w:rsidRPr="00114AD7">
        <w:rPr>
          <w:noProof/>
          <w:sz w:val="24"/>
          <w:szCs w:val="24"/>
        </w:rPr>
        <w:t xml:space="preserve">, </w:t>
      </w:r>
      <w:r w:rsidRPr="00114AD7">
        <w:rPr>
          <w:i/>
          <w:iCs/>
          <w:noProof/>
          <w:sz w:val="24"/>
          <w:szCs w:val="24"/>
        </w:rPr>
        <w:t>6</w:t>
      </w:r>
      <w:r w:rsidRPr="00114AD7">
        <w:rPr>
          <w:noProof/>
          <w:sz w:val="24"/>
          <w:szCs w:val="24"/>
        </w:rPr>
        <w:t>(4), 357–69. doi:10.1016/j.cbd.2011.08.002</w:t>
      </w:r>
    </w:p>
    <w:p w14:paraId="2226DC1B" w14:textId="2853DECB" w:rsidR="00D92FB6" w:rsidRPr="00114AD7" w:rsidRDefault="00D92FB6" w:rsidP="00D92FB6">
      <w:pPr>
        <w:pStyle w:val="NormalWeb"/>
        <w:ind w:left="480" w:hanging="480"/>
        <w:rPr>
          <w:noProof/>
          <w:sz w:val="24"/>
          <w:szCs w:val="24"/>
        </w:rPr>
      </w:pPr>
      <w:r w:rsidRPr="00114AD7">
        <w:rPr>
          <w:noProof/>
          <w:sz w:val="24"/>
          <w:szCs w:val="24"/>
        </w:rPr>
        <w:t xml:space="preserve">Li, R., Zhang, L., Fang, </w:t>
      </w:r>
      <w:r w:rsidR="00791791">
        <w:rPr>
          <w:noProof/>
          <w:sz w:val="24"/>
          <w:szCs w:val="24"/>
        </w:rPr>
        <w:t>Y., Han, B., Lu, X., Zhou, T., Feng, M. &amp;</w:t>
      </w:r>
      <w:r w:rsidRPr="00114AD7">
        <w:rPr>
          <w:noProof/>
          <w:sz w:val="24"/>
          <w:szCs w:val="24"/>
        </w:rPr>
        <w:t xml:space="preserve"> Li, J. (2013). Proteome and phosphoproteome analysis of honeybee (Apis mellifera) venom collected from electrical stimulation and manual extraction of the venom gland. </w:t>
      </w:r>
      <w:r w:rsidRPr="00114AD7">
        <w:rPr>
          <w:i/>
          <w:iCs/>
          <w:noProof/>
          <w:sz w:val="24"/>
          <w:szCs w:val="24"/>
        </w:rPr>
        <w:t>BMC genomics</w:t>
      </w:r>
      <w:r w:rsidRPr="00114AD7">
        <w:rPr>
          <w:noProof/>
          <w:sz w:val="24"/>
          <w:szCs w:val="24"/>
        </w:rPr>
        <w:t xml:space="preserve">, </w:t>
      </w:r>
      <w:r w:rsidRPr="00114AD7">
        <w:rPr>
          <w:i/>
          <w:iCs/>
          <w:noProof/>
          <w:sz w:val="24"/>
          <w:szCs w:val="24"/>
        </w:rPr>
        <w:t>14</w:t>
      </w:r>
      <w:r w:rsidRPr="00114AD7">
        <w:rPr>
          <w:noProof/>
          <w:sz w:val="24"/>
          <w:szCs w:val="24"/>
        </w:rPr>
        <w:t>(1), 766. doi:10.1186/1471-2164-14-766</w:t>
      </w:r>
    </w:p>
    <w:p w14:paraId="47D6C210" w14:textId="1B435D67" w:rsidR="00D92FB6" w:rsidRPr="00114AD7" w:rsidRDefault="00D92FB6" w:rsidP="00D92FB6">
      <w:pPr>
        <w:pStyle w:val="NormalWeb"/>
        <w:ind w:left="480" w:hanging="480"/>
        <w:rPr>
          <w:noProof/>
          <w:sz w:val="24"/>
          <w:szCs w:val="24"/>
        </w:rPr>
      </w:pPr>
      <w:r w:rsidRPr="00114AD7">
        <w:rPr>
          <w:noProof/>
          <w:sz w:val="24"/>
          <w:szCs w:val="24"/>
        </w:rPr>
        <w:t>Lüchmann, K. H., Mattos, J. J., Siebert, M. N., Granucci, N., Dor</w:t>
      </w:r>
      <w:r w:rsidR="00791791">
        <w:rPr>
          <w:noProof/>
          <w:sz w:val="24"/>
          <w:szCs w:val="24"/>
        </w:rPr>
        <w:t>rington, T. S., Bícego, M. C., Taniguchi, S., Sasaki, S.T., Daura-Jorge, F.G. &amp;</w:t>
      </w:r>
      <w:r w:rsidRPr="00114AD7">
        <w:rPr>
          <w:noProof/>
          <w:sz w:val="24"/>
          <w:szCs w:val="24"/>
        </w:rPr>
        <w:t xml:space="preserve"> Bainy, A. C. D. (2011). Biochemical biomarkers and hydrocarbons concentrations in the mangrove oyster Crassostrea brasiliana following exposure to diesel fuel water-accommodated fraction. </w:t>
      </w:r>
      <w:r w:rsidRPr="00114AD7">
        <w:rPr>
          <w:i/>
          <w:iCs/>
          <w:noProof/>
          <w:sz w:val="24"/>
          <w:szCs w:val="24"/>
        </w:rPr>
        <w:t>Aquatic toxicology</w:t>
      </w:r>
      <w:r w:rsidRPr="00114AD7">
        <w:rPr>
          <w:noProof/>
          <w:sz w:val="24"/>
          <w:szCs w:val="24"/>
        </w:rPr>
        <w:t xml:space="preserve">, </w:t>
      </w:r>
      <w:r w:rsidRPr="00114AD7">
        <w:rPr>
          <w:i/>
          <w:iCs/>
          <w:noProof/>
          <w:sz w:val="24"/>
          <w:szCs w:val="24"/>
        </w:rPr>
        <w:t>105</w:t>
      </w:r>
      <w:r w:rsidRPr="00114AD7">
        <w:rPr>
          <w:noProof/>
          <w:sz w:val="24"/>
          <w:szCs w:val="24"/>
        </w:rPr>
        <w:t>(3-4), 652–60. doi:10.1016/j.aquatox.2011.09.003</w:t>
      </w:r>
    </w:p>
    <w:p w14:paraId="14DFB9E1" w14:textId="77777777" w:rsidR="00D92FB6" w:rsidRPr="00114AD7" w:rsidRDefault="00D92FB6" w:rsidP="00D92FB6">
      <w:pPr>
        <w:pStyle w:val="NormalWeb"/>
        <w:ind w:left="480" w:hanging="480"/>
        <w:rPr>
          <w:noProof/>
          <w:sz w:val="24"/>
          <w:szCs w:val="24"/>
        </w:rPr>
      </w:pPr>
      <w:r w:rsidRPr="00114AD7">
        <w:rPr>
          <w:noProof/>
          <w:sz w:val="24"/>
          <w:szCs w:val="24"/>
        </w:rPr>
        <w:t xml:space="preserve">Malécot, M., Guével, B., Pineau, C., Holbech, B. F., Bormans, M., &amp; Wiegand, C. (2013). Specific proteomic response of Unio pictorum mussel to a mixture of glyphosate and microcystin-LR. </w:t>
      </w:r>
      <w:r w:rsidRPr="00114AD7">
        <w:rPr>
          <w:i/>
          <w:iCs/>
          <w:noProof/>
          <w:sz w:val="24"/>
          <w:szCs w:val="24"/>
        </w:rPr>
        <w:t>Journal of proteome research</w:t>
      </w:r>
      <w:r w:rsidRPr="00114AD7">
        <w:rPr>
          <w:noProof/>
          <w:sz w:val="24"/>
          <w:szCs w:val="24"/>
        </w:rPr>
        <w:t xml:space="preserve">, </w:t>
      </w:r>
      <w:r w:rsidRPr="00114AD7">
        <w:rPr>
          <w:i/>
          <w:iCs/>
          <w:noProof/>
          <w:sz w:val="24"/>
          <w:szCs w:val="24"/>
        </w:rPr>
        <w:t>12</w:t>
      </w:r>
      <w:r w:rsidRPr="00114AD7">
        <w:rPr>
          <w:noProof/>
          <w:sz w:val="24"/>
          <w:szCs w:val="24"/>
        </w:rPr>
        <w:t>(11), 5281–92. doi:10.1021/pr4006316</w:t>
      </w:r>
    </w:p>
    <w:p w14:paraId="5DF65D0D" w14:textId="402F7728" w:rsidR="000362D9" w:rsidRPr="00114AD7" w:rsidRDefault="000362D9" w:rsidP="00D92FB6">
      <w:pPr>
        <w:pStyle w:val="NormalWeb"/>
        <w:ind w:left="480" w:hanging="480"/>
        <w:rPr>
          <w:noProof/>
          <w:sz w:val="24"/>
          <w:szCs w:val="24"/>
        </w:rPr>
      </w:pPr>
      <w:r w:rsidRPr="00114AD7">
        <w:rPr>
          <w:noProof/>
          <w:sz w:val="24"/>
          <w:szCs w:val="24"/>
        </w:rPr>
        <w:t xml:space="preserve">Mann, R. (2983). The role of introduced bivalve mollusc species in mariculture. </w:t>
      </w:r>
      <w:r w:rsidRPr="00114AD7">
        <w:rPr>
          <w:i/>
          <w:noProof/>
          <w:sz w:val="24"/>
          <w:szCs w:val="24"/>
        </w:rPr>
        <w:t>J. World Maricul. Soc.</w:t>
      </w:r>
      <w:r w:rsidRPr="00114AD7">
        <w:rPr>
          <w:noProof/>
          <w:sz w:val="24"/>
          <w:szCs w:val="24"/>
        </w:rPr>
        <w:t xml:space="preserve">, </w:t>
      </w:r>
      <w:r w:rsidRPr="00114AD7">
        <w:rPr>
          <w:i/>
          <w:noProof/>
          <w:sz w:val="24"/>
          <w:szCs w:val="24"/>
        </w:rPr>
        <w:t>14</w:t>
      </w:r>
      <w:r w:rsidRPr="00114AD7">
        <w:rPr>
          <w:noProof/>
          <w:sz w:val="24"/>
          <w:szCs w:val="24"/>
        </w:rPr>
        <w:t>, 546-559.</w:t>
      </w:r>
    </w:p>
    <w:p w14:paraId="65EAACF3" w14:textId="77777777" w:rsidR="00D92FB6" w:rsidRPr="00114AD7" w:rsidRDefault="00D92FB6" w:rsidP="00D92FB6">
      <w:pPr>
        <w:pStyle w:val="NormalWeb"/>
        <w:ind w:left="480" w:hanging="480"/>
        <w:rPr>
          <w:noProof/>
          <w:sz w:val="24"/>
          <w:szCs w:val="24"/>
        </w:rPr>
      </w:pPr>
      <w:r w:rsidRPr="00114AD7">
        <w:rPr>
          <w:noProof/>
          <w:sz w:val="24"/>
          <w:szCs w:val="24"/>
        </w:rPr>
        <w:t>Matoo, O. B., Ivanina, A. V, Ullstad, C., Beniash, E., &amp; Sokolova, I. M. (2013). Interactive effects of elevated temperature and CO</w:t>
      </w:r>
      <w:r w:rsidRPr="00114AD7">
        <w:rPr>
          <w:noProof/>
          <w:sz w:val="24"/>
          <w:szCs w:val="24"/>
          <w:vertAlign w:val="subscript"/>
        </w:rPr>
        <w:t>2</w:t>
      </w:r>
      <w:r w:rsidRPr="00114AD7">
        <w:rPr>
          <w:noProof/>
          <w:sz w:val="24"/>
          <w:szCs w:val="24"/>
        </w:rPr>
        <w:t xml:space="preserve"> levels on metabolism and oxidative stress in two common marine bivalves (Crassostrea virginica and Mercenaria mercenaria). </w:t>
      </w:r>
      <w:r w:rsidRPr="00114AD7">
        <w:rPr>
          <w:i/>
          <w:iCs/>
          <w:noProof/>
          <w:sz w:val="24"/>
          <w:szCs w:val="24"/>
        </w:rPr>
        <w:t>Comparative biochemistry and physiology. Part A, Molecular &amp; integrative physiology</w:t>
      </w:r>
      <w:r w:rsidRPr="00114AD7">
        <w:rPr>
          <w:noProof/>
          <w:sz w:val="24"/>
          <w:szCs w:val="24"/>
        </w:rPr>
        <w:t xml:space="preserve">, </w:t>
      </w:r>
      <w:r w:rsidRPr="00114AD7">
        <w:rPr>
          <w:i/>
          <w:iCs/>
          <w:noProof/>
          <w:sz w:val="24"/>
          <w:szCs w:val="24"/>
        </w:rPr>
        <w:t>164</w:t>
      </w:r>
      <w:r w:rsidRPr="00114AD7">
        <w:rPr>
          <w:noProof/>
          <w:sz w:val="24"/>
          <w:szCs w:val="24"/>
        </w:rPr>
        <w:t>(4), 545–53. doi:10.1016/j.cbpa.2012.12.025</w:t>
      </w:r>
    </w:p>
    <w:p w14:paraId="76F9D9AA" w14:textId="77777777" w:rsidR="00D92FB6" w:rsidRPr="00114AD7" w:rsidRDefault="00D92FB6" w:rsidP="00D92FB6">
      <w:pPr>
        <w:pStyle w:val="NormalWeb"/>
        <w:ind w:left="480" w:hanging="480"/>
        <w:rPr>
          <w:noProof/>
          <w:sz w:val="24"/>
          <w:szCs w:val="24"/>
        </w:rPr>
      </w:pPr>
      <w:r w:rsidRPr="00114AD7">
        <w:rPr>
          <w:noProof/>
          <w:sz w:val="24"/>
          <w:szCs w:val="24"/>
        </w:rPr>
        <w:t xml:space="preserve">Matozzo, V., Chinellato, A., Munari, M., Finos, L., Bressan, M., &amp; Marin, M. G. (2012). First evidence of immunomodulation in bivalves under seawater acidification and increased temperature. </w:t>
      </w:r>
      <w:r w:rsidRPr="00114AD7">
        <w:rPr>
          <w:i/>
          <w:iCs/>
          <w:noProof/>
          <w:sz w:val="24"/>
          <w:szCs w:val="24"/>
        </w:rPr>
        <w:t>PloS one</w:t>
      </w:r>
      <w:r w:rsidRPr="00114AD7">
        <w:rPr>
          <w:noProof/>
          <w:sz w:val="24"/>
          <w:szCs w:val="24"/>
        </w:rPr>
        <w:t xml:space="preserve">, </w:t>
      </w:r>
      <w:r w:rsidRPr="00114AD7">
        <w:rPr>
          <w:i/>
          <w:iCs/>
          <w:noProof/>
          <w:sz w:val="24"/>
          <w:szCs w:val="24"/>
        </w:rPr>
        <w:t>7</w:t>
      </w:r>
      <w:r w:rsidRPr="00114AD7">
        <w:rPr>
          <w:noProof/>
          <w:sz w:val="24"/>
          <w:szCs w:val="24"/>
        </w:rPr>
        <w:t>(3), e33820. doi:10.1371/journal.pone.0033820</w:t>
      </w:r>
    </w:p>
    <w:p w14:paraId="6A204478" w14:textId="28C6D8F1" w:rsidR="00D92FB6" w:rsidRPr="00114AD7" w:rsidRDefault="00D92FB6" w:rsidP="00D92FB6">
      <w:pPr>
        <w:pStyle w:val="NormalWeb"/>
        <w:ind w:left="480" w:hanging="480"/>
        <w:rPr>
          <w:noProof/>
          <w:sz w:val="24"/>
          <w:szCs w:val="24"/>
        </w:rPr>
      </w:pPr>
      <w:r w:rsidRPr="00114AD7">
        <w:rPr>
          <w:noProof/>
          <w:sz w:val="24"/>
          <w:szCs w:val="24"/>
        </w:rPr>
        <w:t>Melzner, F., Stange, P., Trübenbach, K., Thomsen,</w:t>
      </w:r>
      <w:r w:rsidR="00791791">
        <w:rPr>
          <w:noProof/>
          <w:sz w:val="24"/>
          <w:szCs w:val="24"/>
        </w:rPr>
        <w:t xml:space="preserve"> J., Casties, I., Panknin, U., Gorb, S.N., &amp;</w:t>
      </w:r>
      <w:r w:rsidRPr="00114AD7">
        <w:rPr>
          <w:noProof/>
          <w:sz w:val="24"/>
          <w:szCs w:val="24"/>
        </w:rPr>
        <w:t xml:space="preserve"> Gutowska, M. A. (2011). Food supply and seawater pCO2 impact calcification and internal shell dissolution in the blue mussel Mytilus edulis. </w:t>
      </w:r>
      <w:r w:rsidRPr="00114AD7">
        <w:rPr>
          <w:i/>
          <w:iCs/>
          <w:noProof/>
          <w:sz w:val="24"/>
          <w:szCs w:val="24"/>
        </w:rPr>
        <w:t>PloS one</w:t>
      </w:r>
      <w:r w:rsidRPr="00114AD7">
        <w:rPr>
          <w:noProof/>
          <w:sz w:val="24"/>
          <w:szCs w:val="24"/>
        </w:rPr>
        <w:t xml:space="preserve">, </w:t>
      </w:r>
      <w:r w:rsidRPr="00114AD7">
        <w:rPr>
          <w:i/>
          <w:iCs/>
          <w:noProof/>
          <w:sz w:val="24"/>
          <w:szCs w:val="24"/>
        </w:rPr>
        <w:t>6</w:t>
      </w:r>
      <w:r w:rsidRPr="00114AD7">
        <w:rPr>
          <w:noProof/>
          <w:sz w:val="24"/>
          <w:szCs w:val="24"/>
        </w:rPr>
        <w:t>(9), e24223. doi:10.1371/journal.pone.0024223</w:t>
      </w:r>
    </w:p>
    <w:p w14:paraId="4B5BFCB5" w14:textId="1190336F" w:rsidR="00A73320" w:rsidRPr="00114AD7" w:rsidRDefault="00A73320" w:rsidP="00D92FB6">
      <w:pPr>
        <w:pStyle w:val="NormalWeb"/>
        <w:ind w:left="480" w:hanging="480"/>
        <w:rPr>
          <w:noProof/>
          <w:sz w:val="24"/>
          <w:szCs w:val="24"/>
        </w:rPr>
      </w:pPr>
      <w:r w:rsidRPr="00114AD7">
        <w:rPr>
          <w:noProof/>
          <w:sz w:val="24"/>
          <w:szCs w:val="24"/>
        </w:rPr>
        <w:t>Meyer, E., and Manahan, D.T. (2010). Gene expression profiling of genetically determined growth variation in bivalve larvae (</w:t>
      </w:r>
      <w:r w:rsidRPr="00114AD7">
        <w:rPr>
          <w:i/>
          <w:noProof/>
          <w:sz w:val="24"/>
          <w:szCs w:val="24"/>
        </w:rPr>
        <w:t>Crassotrea gigas</w:t>
      </w:r>
      <w:r w:rsidRPr="00114AD7">
        <w:rPr>
          <w:noProof/>
          <w:sz w:val="24"/>
          <w:szCs w:val="24"/>
        </w:rPr>
        <w:t xml:space="preserve">). </w:t>
      </w:r>
      <w:r w:rsidRPr="00114AD7">
        <w:rPr>
          <w:i/>
          <w:noProof/>
          <w:sz w:val="24"/>
          <w:szCs w:val="24"/>
        </w:rPr>
        <w:t>The Journal of Experiemental Biology</w:t>
      </w:r>
      <w:r w:rsidRPr="00114AD7">
        <w:rPr>
          <w:noProof/>
          <w:sz w:val="24"/>
          <w:szCs w:val="24"/>
        </w:rPr>
        <w:t xml:space="preserve">, </w:t>
      </w:r>
      <w:r w:rsidRPr="00114AD7">
        <w:rPr>
          <w:i/>
          <w:noProof/>
          <w:sz w:val="24"/>
          <w:szCs w:val="24"/>
        </w:rPr>
        <w:t>213</w:t>
      </w:r>
      <w:r w:rsidRPr="00114AD7">
        <w:rPr>
          <w:noProof/>
          <w:sz w:val="24"/>
          <w:szCs w:val="24"/>
        </w:rPr>
        <w:t>, 749-758.</w:t>
      </w:r>
    </w:p>
    <w:p w14:paraId="72EF9737" w14:textId="77777777" w:rsidR="00D92FB6" w:rsidRPr="00114AD7" w:rsidRDefault="00D92FB6" w:rsidP="00D92FB6">
      <w:pPr>
        <w:pStyle w:val="NormalWeb"/>
        <w:ind w:left="480" w:hanging="480"/>
        <w:rPr>
          <w:noProof/>
          <w:sz w:val="24"/>
          <w:szCs w:val="24"/>
        </w:rPr>
      </w:pPr>
      <w:r w:rsidRPr="00114AD7">
        <w:rPr>
          <w:noProof/>
          <w:sz w:val="24"/>
          <w:szCs w:val="24"/>
        </w:rPr>
        <w:t xml:space="preserve">Michaelidis, B., Ouzounis, C., Paleras, A., &amp; Pörtner, H. O. (2005). Effects of long-term moderate hypercapnia on acid – base balance and growth rate in marine mussels Mytilus galloprovincialis. </w:t>
      </w:r>
      <w:r w:rsidRPr="00114AD7">
        <w:rPr>
          <w:i/>
          <w:noProof/>
          <w:sz w:val="24"/>
          <w:szCs w:val="24"/>
        </w:rPr>
        <w:t>Marine Ecology Progress Series,</w:t>
      </w:r>
      <w:r w:rsidRPr="00114AD7">
        <w:rPr>
          <w:noProof/>
          <w:sz w:val="24"/>
          <w:szCs w:val="24"/>
        </w:rPr>
        <w:t xml:space="preserve"> </w:t>
      </w:r>
      <w:r w:rsidRPr="00114AD7">
        <w:rPr>
          <w:i/>
          <w:iCs/>
          <w:noProof/>
          <w:sz w:val="24"/>
          <w:szCs w:val="24"/>
        </w:rPr>
        <w:t>293</w:t>
      </w:r>
      <w:r w:rsidRPr="00114AD7">
        <w:rPr>
          <w:noProof/>
          <w:sz w:val="24"/>
          <w:szCs w:val="24"/>
        </w:rPr>
        <w:t>, 109–118.</w:t>
      </w:r>
    </w:p>
    <w:p w14:paraId="6C892133" w14:textId="77777777" w:rsidR="00D92FB6" w:rsidRPr="00114AD7" w:rsidRDefault="00D92FB6" w:rsidP="00D92FB6">
      <w:pPr>
        <w:pStyle w:val="NormalWeb"/>
        <w:ind w:left="480" w:hanging="480"/>
        <w:rPr>
          <w:noProof/>
          <w:sz w:val="24"/>
          <w:szCs w:val="24"/>
        </w:rPr>
      </w:pPr>
      <w:r w:rsidRPr="00114AD7">
        <w:rPr>
          <w:noProof/>
          <w:sz w:val="24"/>
          <w:szCs w:val="24"/>
        </w:rPr>
        <w:t>Miller, A. W., Reynolds, A. C., Sobrino, C., &amp; Riedel, G. F. (2009). Shellfish face uncertain future in high CO</w:t>
      </w:r>
      <w:r w:rsidRPr="00114AD7">
        <w:rPr>
          <w:noProof/>
          <w:sz w:val="24"/>
          <w:szCs w:val="24"/>
          <w:vertAlign w:val="subscript"/>
        </w:rPr>
        <w:t>2</w:t>
      </w:r>
      <w:r w:rsidRPr="00114AD7">
        <w:rPr>
          <w:noProof/>
          <w:sz w:val="24"/>
          <w:szCs w:val="24"/>
        </w:rPr>
        <w:t xml:space="preserve"> world: influence of acidification on oyster larvae calcification and growth in estuaries. </w:t>
      </w:r>
      <w:r w:rsidRPr="00114AD7">
        <w:rPr>
          <w:i/>
          <w:iCs/>
          <w:noProof/>
          <w:sz w:val="24"/>
          <w:szCs w:val="24"/>
        </w:rPr>
        <w:t>PloS one</w:t>
      </w:r>
      <w:r w:rsidRPr="00114AD7">
        <w:rPr>
          <w:noProof/>
          <w:sz w:val="24"/>
          <w:szCs w:val="24"/>
        </w:rPr>
        <w:t xml:space="preserve">, </w:t>
      </w:r>
      <w:r w:rsidRPr="00114AD7">
        <w:rPr>
          <w:i/>
          <w:iCs/>
          <w:noProof/>
          <w:sz w:val="24"/>
          <w:szCs w:val="24"/>
        </w:rPr>
        <w:t>4</w:t>
      </w:r>
      <w:r w:rsidRPr="00114AD7">
        <w:rPr>
          <w:noProof/>
          <w:sz w:val="24"/>
          <w:szCs w:val="24"/>
        </w:rPr>
        <w:t>(5), e5661. doi:10.1371/journal.pone.0005661</w:t>
      </w:r>
    </w:p>
    <w:p w14:paraId="1E072C94" w14:textId="2C4FF444" w:rsidR="00C7287C" w:rsidRPr="00114AD7" w:rsidRDefault="00C7287C" w:rsidP="00D92FB6">
      <w:pPr>
        <w:pStyle w:val="NormalWeb"/>
        <w:ind w:left="480" w:hanging="480"/>
        <w:rPr>
          <w:noProof/>
          <w:sz w:val="24"/>
          <w:szCs w:val="24"/>
        </w:rPr>
      </w:pPr>
      <w:r w:rsidRPr="00114AD7">
        <w:rPr>
          <w:noProof/>
          <w:sz w:val="24"/>
          <w:szCs w:val="24"/>
        </w:rPr>
        <w:t xml:space="preserve">Padilla, D.K. (2010). Context-dependent Impacts of a Non-native Ecosystem Engineer, the Pacific Oyster </w:t>
      </w:r>
      <w:r w:rsidRPr="00114AD7">
        <w:rPr>
          <w:i/>
          <w:noProof/>
          <w:sz w:val="24"/>
          <w:szCs w:val="24"/>
        </w:rPr>
        <w:t>Crassostrea gigas</w:t>
      </w:r>
      <w:r w:rsidRPr="00114AD7">
        <w:rPr>
          <w:noProof/>
          <w:sz w:val="24"/>
          <w:szCs w:val="24"/>
        </w:rPr>
        <w:t xml:space="preserve">. </w:t>
      </w:r>
      <w:r w:rsidRPr="00114AD7">
        <w:rPr>
          <w:i/>
          <w:noProof/>
          <w:sz w:val="24"/>
          <w:szCs w:val="24"/>
        </w:rPr>
        <w:t>Integrative and Comparative Biology</w:t>
      </w:r>
      <w:r w:rsidRPr="00114AD7">
        <w:rPr>
          <w:noProof/>
          <w:sz w:val="24"/>
          <w:szCs w:val="24"/>
        </w:rPr>
        <w:t xml:space="preserve">, </w:t>
      </w:r>
      <w:r w:rsidRPr="00114AD7">
        <w:rPr>
          <w:i/>
          <w:noProof/>
          <w:sz w:val="24"/>
          <w:szCs w:val="24"/>
        </w:rPr>
        <w:t>50</w:t>
      </w:r>
      <w:r w:rsidRPr="00114AD7">
        <w:rPr>
          <w:noProof/>
          <w:sz w:val="24"/>
          <w:szCs w:val="24"/>
        </w:rPr>
        <w:t>(2), 213-225. doi: 10.1093/icb/icq080</w:t>
      </w:r>
    </w:p>
    <w:p w14:paraId="63CB840E" w14:textId="77777777" w:rsidR="00D92FB6" w:rsidRPr="00114AD7" w:rsidRDefault="00D92FB6" w:rsidP="00D92FB6">
      <w:pPr>
        <w:pStyle w:val="NormalWeb"/>
        <w:ind w:left="480" w:hanging="480"/>
        <w:rPr>
          <w:noProof/>
          <w:sz w:val="24"/>
          <w:szCs w:val="24"/>
        </w:rPr>
      </w:pPr>
      <w:r w:rsidRPr="00114AD7">
        <w:rPr>
          <w:noProof/>
          <w:sz w:val="24"/>
          <w:szCs w:val="24"/>
        </w:rPr>
        <w:t xml:space="preserve">Papakostas, S., Vasemägi, A., Vähä, J.-P., Himberg, M., Peil, L., &amp; Primmer, C. R. (2012). A proteomics approach reveals divergent molecular responses to salinity in populations of European whitefish (Coregonus lavaretus). </w:t>
      </w:r>
      <w:r w:rsidRPr="00114AD7">
        <w:rPr>
          <w:i/>
          <w:iCs/>
          <w:noProof/>
          <w:sz w:val="24"/>
          <w:szCs w:val="24"/>
        </w:rPr>
        <w:t>Molecular ecology</w:t>
      </w:r>
      <w:r w:rsidRPr="00114AD7">
        <w:rPr>
          <w:noProof/>
          <w:sz w:val="24"/>
          <w:szCs w:val="24"/>
        </w:rPr>
        <w:t xml:space="preserve">, </w:t>
      </w:r>
      <w:r w:rsidRPr="00114AD7">
        <w:rPr>
          <w:i/>
          <w:iCs/>
          <w:noProof/>
          <w:sz w:val="24"/>
          <w:szCs w:val="24"/>
        </w:rPr>
        <w:t>21</w:t>
      </w:r>
      <w:r w:rsidRPr="00114AD7">
        <w:rPr>
          <w:noProof/>
          <w:sz w:val="24"/>
          <w:szCs w:val="24"/>
        </w:rPr>
        <w:t>(14), 3516–30. doi:10.1111/j.1365-294X.2012.05553.x</w:t>
      </w:r>
    </w:p>
    <w:p w14:paraId="119607E6" w14:textId="77777777" w:rsidR="00D92FB6" w:rsidRPr="00114AD7" w:rsidRDefault="00D92FB6" w:rsidP="00D92FB6">
      <w:pPr>
        <w:pStyle w:val="NormalWeb"/>
        <w:ind w:left="480" w:hanging="480"/>
        <w:rPr>
          <w:noProof/>
          <w:sz w:val="24"/>
          <w:szCs w:val="24"/>
        </w:rPr>
      </w:pPr>
      <w:r w:rsidRPr="00114AD7">
        <w:rPr>
          <w:noProof/>
          <w:sz w:val="24"/>
          <w:szCs w:val="24"/>
        </w:rPr>
        <w:t>Parker, L. M., Ross, P. M., &amp; O’Connor, W. A. (2010). Comparing the effect of elevated pCO</w:t>
      </w:r>
      <w:r w:rsidRPr="00114AD7">
        <w:rPr>
          <w:noProof/>
          <w:sz w:val="24"/>
          <w:szCs w:val="24"/>
          <w:vertAlign w:val="subscript"/>
        </w:rPr>
        <w:t>2</w:t>
      </w:r>
      <w:r w:rsidRPr="00114AD7">
        <w:rPr>
          <w:noProof/>
          <w:sz w:val="24"/>
          <w:szCs w:val="24"/>
        </w:rPr>
        <w:t xml:space="preserve"> and temperature on the fertilization and early development of two species of oysters. </w:t>
      </w:r>
      <w:r w:rsidRPr="00114AD7">
        <w:rPr>
          <w:i/>
          <w:iCs/>
          <w:noProof/>
          <w:sz w:val="24"/>
          <w:szCs w:val="24"/>
        </w:rPr>
        <w:t>Marine Biology</w:t>
      </w:r>
      <w:r w:rsidRPr="00114AD7">
        <w:rPr>
          <w:noProof/>
          <w:sz w:val="24"/>
          <w:szCs w:val="24"/>
        </w:rPr>
        <w:t xml:space="preserve">, </w:t>
      </w:r>
      <w:r w:rsidRPr="00114AD7">
        <w:rPr>
          <w:i/>
          <w:iCs/>
          <w:noProof/>
          <w:sz w:val="24"/>
          <w:szCs w:val="24"/>
        </w:rPr>
        <w:t>157</w:t>
      </w:r>
      <w:r w:rsidRPr="00114AD7">
        <w:rPr>
          <w:noProof/>
          <w:sz w:val="24"/>
          <w:szCs w:val="24"/>
        </w:rPr>
        <w:t>(11), 2435–2452. doi:10.1007/s00227-010-1508-3</w:t>
      </w:r>
    </w:p>
    <w:p w14:paraId="43B9AADE" w14:textId="74D388FC" w:rsidR="00D92FB6" w:rsidRPr="00114AD7" w:rsidRDefault="00D92FB6" w:rsidP="00D92FB6">
      <w:pPr>
        <w:pStyle w:val="NormalWeb"/>
        <w:ind w:left="480" w:hanging="480"/>
        <w:rPr>
          <w:noProof/>
          <w:sz w:val="24"/>
          <w:szCs w:val="24"/>
        </w:rPr>
      </w:pPr>
      <w:r w:rsidRPr="00114AD7">
        <w:rPr>
          <w:noProof/>
          <w:sz w:val="24"/>
          <w:szCs w:val="24"/>
        </w:rPr>
        <w:t xml:space="preserve">Parker, L. M., Ross, P. M., O’Connor, </w:t>
      </w:r>
      <w:r w:rsidR="00791791">
        <w:rPr>
          <w:noProof/>
          <w:sz w:val="24"/>
          <w:szCs w:val="24"/>
        </w:rPr>
        <w:t>W. A., Borysko, L., Raftos, D.A</w:t>
      </w:r>
      <w:r w:rsidRPr="00114AD7">
        <w:rPr>
          <w:noProof/>
          <w:sz w:val="24"/>
          <w:szCs w:val="24"/>
        </w:rPr>
        <w:t xml:space="preserve">., &amp; Pörtner, H.-O. (2012). Adult exposure influences offspring response to ocean acidification in oysters. </w:t>
      </w:r>
      <w:r w:rsidRPr="00114AD7">
        <w:rPr>
          <w:i/>
          <w:iCs/>
          <w:noProof/>
          <w:sz w:val="24"/>
          <w:szCs w:val="24"/>
        </w:rPr>
        <w:t>Global Change Biology</w:t>
      </w:r>
      <w:r w:rsidRPr="00114AD7">
        <w:rPr>
          <w:noProof/>
          <w:sz w:val="24"/>
          <w:szCs w:val="24"/>
        </w:rPr>
        <w:t xml:space="preserve">, </w:t>
      </w:r>
      <w:r w:rsidRPr="00114AD7">
        <w:rPr>
          <w:i/>
          <w:iCs/>
          <w:noProof/>
          <w:sz w:val="24"/>
          <w:szCs w:val="24"/>
        </w:rPr>
        <w:t>18</w:t>
      </w:r>
      <w:r w:rsidRPr="00114AD7">
        <w:rPr>
          <w:noProof/>
          <w:sz w:val="24"/>
          <w:szCs w:val="24"/>
        </w:rPr>
        <w:t>(1), 82–92. doi:10.1111/j.1365-2486.2011.02520.x</w:t>
      </w:r>
    </w:p>
    <w:p w14:paraId="44DCD5D9" w14:textId="77777777" w:rsidR="00D92FB6" w:rsidRPr="00114AD7" w:rsidRDefault="00D92FB6" w:rsidP="00D92FB6">
      <w:pPr>
        <w:pStyle w:val="NormalWeb"/>
        <w:ind w:left="480" w:hanging="480"/>
        <w:rPr>
          <w:noProof/>
          <w:sz w:val="24"/>
          <w:szCs w:val="24"/>
        </w:rPr>
      </w:pPr>
      <w:r w:rsidRPr="00114AD7">
        <w:rPr>
          <w:noProof/>
          <w:sz w:val="24"/>
          <w:szCs w:val="24"/>
        </w:rPr>
        <w:t xml:space="preserve">Parker, L. M., Ross, P. M., Raftos, D., Thompson, E., &amp; O’Connor, W. A. (2011). The proteomic response of larvae of the Sydney rock oyster, Saccostrea glomerata to elevated pCO2. </w:t>
      </w:r>
      <w:r w:rsidRPr="00114AD7">
        <w:rPr>
          <w:i/>
          <w:iCs/>
          <w:noProof/>
          <w:sz w:val="24"/>
          <w:szCs w:val="24"/>
        </w:rPr>
        <w:t>Australian zoologist</w:t>
      </w:r>
      <w:r w:rsidRPr="00114AD7">
        <w:rPr>
          <w:noProof/>
          <w:sz w:val="24"/>
          <w:szCs w:val="24"/>
        </w:rPr>
        <w:t xml:space="preserve">, </w:t>
      </w:r>
      <w:r w:rsidRPr="00114AD7">
        <w:rPr>
          <w:i/>
          <w:iCs/>
          <w:noProof/>
          <w:sz w:val="24"/>
          <w:szCs w:val="24"/>
        </w:rPr>
        <w:t>35</w:t>
      </w:r>
      <w:r w:rsidRPr="00114AD7">
        <w:rPr>
          <w:noProof/>
          <w:sz w:val="24"/>
          <w:szCs w:val="24"/>
        </w:rPr>
        <w:t>(4), 1011–1023.</w:t>
      </w:r>
    </w:p>
    <w:p w14:paraId="6704BF72" w14:textId="6075143D" w:rsidR="00D92FB6" w:rsidRPr="00114AD7" w:rsidRDefault="00D92FB6" w:rsidP="00D92FB6">
      <w:pPr>
        <w:pStyle w:val="NormalWeb"/>
        <w:ind w:left="480" w:hanging="480"/>
        <w:rPr>
          <w:noProof/>
          <w:sz w:val="24"/>
          <w:szCs w:val="24"/>
        </w:rPr>
      </w:pPr>
      <w:r w:rsidRPr="00114AD7">
        <w:rPr>
          <w:noProof/>
          <w:sz w:val="24"/>
          <w:szCs w:val="24"/>
        </w:rPr>
        <w:t>Parker, R., Guarna, M. M., Melathopoulos, A. P., Moon,</w:t>
      </w:r>
      <w:r w:rsidR="00791791">
        <w:rPr>
          <w:noProof/>
          <w:sz w:val="24"/>
          <w:szCs w:val="24"/>
        </w:rPr>
        <w:t xml:space="preserve"> K.-M., White, R., Huxter, E., Pernal, S.F., &amp;</w:t>
      </w:r>
      <w:r w:rsidRPr="00114AD7">
        <w:rPr>
          <w:noProof/>
          <w:sz w:val="24"/>
          <w:szCs w:val="24"/>
        </w:rPr>
        <w:t xml:space="preserve"> Foster, L. J. (2012). Correlation of proteome-wide changes with social immunity behaviors provides insight into resistance to the parasitic mite, Varroa destructor, in the honey bee (Apis mellifera). </w:t>
      </w:r>
      <w:r w:rsidRPr="00114AD7">
        <w:rPr>
          <w:i/>
          <w:iCs/>
          <w:noProof/>
          <w:sz w:val="24"/>
          <w:szCs w:val="24"/>
        </w:rPr>
        <w:t>Genome biology</w:t>
      </w:r>
      <w:r w:rsidRPr="00114AD7">
        <w:rPr>
          <w:noProof/>
          <w:sz w:val="24"/>
          <w:szCs w:val="24"/>
        </w:rPr>
        <w:t xml:space="preserve">, </w:t>
      </w:r>
      <w:r w:rsidRPr="00114AD7">
        <w:rPr>
          <w:i/>
          <w:iCs/>
          <w:noProof/>
          <w:sz w:val="24"/>
          <w:szCs w:val="24"/>
        </w:rPr>
        <w:t>13</w:t>
      </w:r>
      <w:r w:rsidRPr="00114AD7">
        <w:rPr>
          <w:noProof/>
          <w:sz w:val="24"/>
          <w:szCs w:val="24"/>
        </w:rPr>
        <w:t>(9), R81. doi:10.1186/gb-2012-13-9-r81</w:t>
      </w:r>
    </w:p>
    <w:p w14:paraId="05CDC330" w14:textId="16FB28C4" w:rsidR="00A73320" w:rsidRPr="00114AD7" w:rsidRDefault="00A73320" w:rsidP="00D92FB6">
      <w:pPr>
        <w:pStyle w:val="NormalWeb"/>
        <w:ind w:left="480" w:hanging="480"/>
        <w:rPr>
          <w:noProof/>
          <w:sz w:val="24"/>
          <w:szCs w:val="24"/>
        </w:rPr>
      </w:pPr>
      <w:r w:rsidRPr="00114AD7">
        <w:rPr>
          <w:noProof/>
          <w:sz w:val="24"/>
          <w:szCs w:val="24"/>
        </w:rPr>
        <w:t xml:space="preserve">Pennington, J.T. and Chavez, F.P. (2000). Seasonal fluctuations of temperature, salinity, nitrate, chlorophyll and primary production at station H3/M1 over 1989-1996 in Monterey Bay, California. </w:t>
      </w:r>
      <w:r w:rsidRPr="00114AD7">
        <w:rPr>
          <w:i/>
          <w:noProof/>
          <w:sz w:val="24"/>
          <w:szCs w:val="24"/>
        </w:rPr>
        <w:t>Deep-Sea Research II</w:t>
      </w:r>
      <w:r w:rsidRPr="00114AD7">
        <w:rPr>
          <w:noProof/>
          <w:sz w:val="24"/>
          <w:szCs w:val="24"/>
        </w:rPr>
        <w:t xml:space="preserve">, </w:t>
      </w:r>
      <w:r w:rsidRPr="00114AD7">
        <w:rPr>
          <w:i/>
          <w:noProof/>
          <w:sz w:val="24"/>
          <w:szCs w:val="24"/>
        </w:rPr>
        <w:t>47</w:t>
      </w:r>
      <w:r w:rsidRPr="00114AD7">
        <w:rPr>
          <w:noProof/>
          <w:sz w:val="24"/>
          <w:szCs w:val="24"/>
        </w:rPr>
        <w:t>, 947-973.</w:t>
      </w:r>
    </w:p>
    <w:p w14:paraId="3C315B8B" w14:textId="527C5179" w:rsidR="00D92FB6" w:rsidRPr="00114AD7" w:rsidRDefault="00D92FB6" w:rsidP="00D92FB6">
      <w:pPr>
        <w:pStyle w:val="NormalWeb"/>
        <w:ind w:left="480" w:hanging="480"/>
        <w:rPr>
          <w:noProof/>
          <w:sz w:val="24"/>
          <w:szCs w:val="24"/>
        </w:rPr>
      </w:pPr>
      <w:r w:rsidRPr="00114AD7">
        <w:rPr>
          <w:noProof/>
          <w:sz w:val="24"/>
          <w:szCs w:val="24"/>
        </w:rPr>
        <w:t xml:space="preserve">Pespeni, M. H., Sanford, E., Gaylord, B., Hill, T. M., </w:t>
      </w:r>
      <w:r w:rsidR="00791791">
        <w:rPr>
          <w:noProof/>
          <w:sz w:val="24"/>
          <w:szCs w:val="24"/>
        </w:rPr>
        <w:t xml:space="preserve">Hosfelt, J. D., Jaris, H. K., LaVigne,  M., Lenz, E.A., Russell, A.D., Young, M.K., &amp; </w:t>
      </w:r>
      <w:r w:rsidRPr="00114AD7">
        <w:rPr>
          <w:noProof/>
          <w:sz w:val="24"/>
          <w:szCs w:val="24"/>
        </w:rPr>
        <w:t xml:space="preserve">Palumbi, S. R. (2013). Evolutionary change during experimental ocean acidification. </w:t>
      </w:r>
      <w:r w:rsidRPr="00114AD7">
        <w:rPr>
          <w:i/>
          <w:iCs/>
          <w:noProof/>
          <w:sz w:val="24"/>
          <w:szCs w:val="24"/>
        </w:rPr>
        <w:t>Proceedings of the National Academy of Sciences of the United States of America</w:t>
      </w:r>
      <w:r w:rsidRPr="00114AD7">
        <w:rPr>
          <w:noProof/>
          <w:sz w:val="24"/>
          <w:szCs w:val="24"/>
        </w:rPr>
        <w:t xml:space="preserve">, </w:t>
      </w:r>
      <w:r w:rsidRPr="00114AD7">
        <w:rPr>
          <w:i/>
          <w:iCs/>
          <w:noProof/>
          <w:sz w:val="24"/>
          <w:szCs w:val="24"/>
        </w:rPr>
        <w:t>110</w:t>
      </w:r>
      <w:r w:rsidRPr="00114AD7">
        <w:rPr>
          <w:noProof/>
          <w:sz w:val="24"/>
          <w:szCs w:val="24"/>
        </w:rPr>
        <w:t>(17), 6937–42. doi:10.1073/pnas.1220673110</w:t>
      </w:r>
    </w:p>
    <w:p w14:paraId="4C91C940" w14:textId="77777777" w:rsidR="00D92FB6" w:rsidRPr="00114AD7" w:rsidRDefault="00D92FB6" w:rsidP="00D92FB6">
      <w:pPr>
        <w:pStyle w:val="NormalWeb"/>
        <w:ind w:left="480" w:hanging="480"/>
        <w:rPr>
          <w:noProof/>
          <w:sz w:val="24"/>
          <w:szCs w:val="24"/>
        </w:rPr>
      </w:pPr>
      <w:r w:rsidRPr="00114AD7">
        <w:rPr>
          <w:noProof/>
          <w:sz w:val="24"/>
          <w:szCs w:val="24"/>
        </w:rPr>
        <w:t xml:space="preserve">Smith, A. S. V, &amp; Key, G. S. (1975). Carbon Dioxide and Metabolism in Marine Environments. </w:t>
      </w:r>
      <w:r w:rsidRPr="00114AD7">
        <w:rPr>
          <w:i/>
          <w:noProof/>
          <w:sz w:val="24"/>
          <w:szCs w:val="24"/>
        </w:rPr>
        <w:t>Limnology and Oceanography,</w:t>
      </w:r>
      <w:r w:rsidRPr="00114AD7">
        <w:rPr>
          <w:noProof/>
          <w:sz w:val="24"/>
          <w:szCs w:val="24"/>
        </w:rPr>
        <w:t xml:space="preserve"> </w:t>
      </w:r>
      <w:r w:rsidRPr="00114AD7">
        <w:rPr>
          <w:i/>
          <w:iCs/>
          <w:noProof/>
          <w:sz w:val="24"/>
          <w:szCs w:val="24"/>
        </w:rPr>
        <w:t>20</w:t>
      </w:r>
      <w:r w:rsidRPr="00114AD7">
        <w:rPr>
          <w:noProof/>
          <w:sz w:val="24"/>
          <w:szCs w:val="24"/>
        </w:rPr>
        <w:t>(3), 493–495.</w:t>
      </w:r>
    </w:p>
    <w:p w14:paraId="0FE2695B" w14:textId="77777777" w:rsidR="00D92FB6" w:rsidRPr="00114AD7" w:rsidRDefault="00D92FB6" w:rsidP="00D92FB6">
      <w:pPr>
        <w:pStyle w:val="NormalWeb"/>
        <w:ind w:left="480" w:hanging="480"/>
        <w:rPr>
          <w:noProof/>
          <w:sz w:val="24"/>
          <w:szCs w:val="24"/>
        </w:rPr>
      </w:pPr>
      <w:r w:rsidRPr="00114AD7">
        <w:rPr>
          <w:noProof/>
          <w:sz w:val="24"/>
          <w:szCs w:val="24"/>
        </w:rPr>
        <w:t xml:space="preserve">Talmage, S. C., &amp; Gobler, C. J. (2011). Effects of elevated temperature and carbon dioxide on the growth and survival of larvae and juveniles of three species of northwest Atlantic bivalves. </w:t>
      </w:r>
      <w:r w:rsidRPr="00114AD7">
        <w:rPr>
          <w:i/>
          <w:iCs/>
          <w:noProof/>
          <w:sz w:val="24"/>
          <w:szCs w:val="24"/>
        </w:rPr>
        <w:t>PloS one</w:t>
      </w:r>
      <w:r w:rsidRPr="00114AD7">
        <w:rPr>
          <w:noProof/>
          <w:sz w:val="24"/>
          <w:szCs w:val="24"/>
        </w:rPr>
        <w:t xml:space="preserve">, </w:t>
      </w:r>
      <w:r w:rsidRPr="00114AD7">
        <w:rPr>
          <w:i/>
          <w:iCs/>
          <w:noProof/>
          <w:sz w:val="24"/>
          <w:szCs w:val="24"/>
        </w:rPr>
        <w:t>6</w:t>
      </w:r>
      <w:r w:rsidRPr="00114AD7">
        <w:rPr>
          <w:noProof/>
          <w:sz w:val="24"/>
          <w:szCs w:val="24"/>
        </w:rPr>
        <w:t>(10), e26941. doi:10.1371/journal.pone.0026941</w:t>
      </w:r>
    </w:p>
    <w:p w14:paraId="7BF07802" w14:textId="77777777" w:rsidR="00D92FB6" w:rsidRPr="00114AD7" w:rsidRDefault="00D92FB6" w:rsidP="00D92FB6">
      <w:pPr>
        <w:pStyle w:val="NormalWeb"/>
        <w:ind w:left="480" w:hanging="480"/>
        <w:rPr>
          <w:noProof/>
          <w:sz w:val="24"/>
          <w:szCs w:val="24"/>
        </w:rPr>
      </w:pPr>
      <w:r w:rsidRPr="00114AD7">
        <w:rPr>
          <w:noProof/>
          <w:sz w:val="24"/>
          <w:szCs w:val="24"/>
        </w:rPr>
        <w:t xml:space="preserve">Thomsen, J., Casties, I., Pansch, C., Körtzinger, A., &amp; Melzner, F. (2013). Food availability outweighs ocean acidification effects in juvenile Mytilus edulis: laboratory and field experiments. </w:t>
      </w:r>
      <w:r w:rsidRPr="00114AD7">
        <w:rPr>
          <w:i/>
          <w:iCs/>
          <w:noProof/>
          <w:sz w:val="24"/>
          <w:szCs w:val="24"/>
        </w:rPr>
        <w:t>Global change biology</w:t>
      </w:r>
      <w:r w:rsidRPr="00114AD7">
        <w:rPr>
          <w:noProof/>
          <w:sz w:val="24"/>
          <w:szCs w:val="24"/>
        </w:rPr>
        <w:t xml:space="preserve">, </w:t>
      </w:r>
      <w:r w:rsidRPr="00114AD7">
        <w:rPr>
          <w:i/>
          <w:iCs/>
          <w:noProof/>
          <w:sz w:val="24"/>
          <w:szCs w:val="24"/>
        </w:rPr>
        <w:t>19</w:t>
      </w:r>
      <w:r w:rsidRPr="00114AD7">
        <w:rPr>
          <w:noProof/>
          <w:sz w:val="24"/>
          <w:szCs w:val="24"/>
        </w:rPr>
        <w:t>(4), 1017–27. doi:10.1111/gcb.12109</w:t>
      </w:r>
    </w:p>
    <w:p w14:paraId="5338EE85" w14:textId="77777777" w:rsidR="00D92FB6" w:rsidRPr="00114AD7" w:rsidRDefault="00D92FB6" w:rsidP="00D92FB6">
      <w:pPr>
        <w:pStyle w:val="NormalWeb"/>
        <w:ind w:left="480" w:hanging="480"/>
        <w:rPr>
          <w:noProof/>
          <w:sz w:val="24"/>
          <w:szCs w:val="24"/>
        </w:rPr>
      </w:pPr>
      <w:r w:rsidRPr="00114AD7">
        <w:rPr>
          <w:noProof/>
          <w:sz w:val="24"/>
          <w:szCs w:val="24"/>
        </w:rPr>
        <w:t xml:space="preserve">Thomsen, J., &amp; Melzner, F. (2010). Moderate seawater acidification does not elicit long-term metabolic depression in the blue mussel Mytilus edulis. </w:t>
      </w:r>
      <w:r w:rsidRPr="00114AD7">
        <w:rPr>
          <w:i/>
          <w:iCs/>
          <w:noProof/>
          <w:sz w:val="24"/>
          <w:szCs w:val="24"/>
        </w:rPr>
        <w:t>Marine Biology</w:t>
      </w:r>
      <w:r w:rsidRPr="00114AD7">
        <w:rPr>
          <w:noProof/>
          <w:sz w:val="24"/>
          <w:szCs w:val="24"/>
        </w:rPr>
        <w:t xml:space="preserve">, </w:t>
      </w:r>
      <w:r w:rsidRPr="00114AD7">
        <w:rPr>
          <w:i/>
          <w:iCs/>
          <w:noProof/>
          <w:sz w:val="24"/>
          <w:szCs w:val="24"/>
        </w:rPr>
        <w:t>157</w:t>
      </w:r>
      <w:r w:rsidRPr="00114AD7">
        <w:rPr>
          <w:noProof/>
          <w:sz w:val="24"/>
          <w:szCs w:val="24"/>
        </w:rPr>
        <w:t>(12), 2667–2676. doi:10.1007/s00227-010-1527-0</w:t>
      </w:r>
    </w:p>
    <w:p w14:paraId="4A233FA7" w14:textId="77777777" w:rsidR="00D92FB6" w:rsidRPr="00114AD7" w:rsidRDefault="00D92FB6" w:rsidP="00D92FB6">
      <w:pPr>
        <w:pStyle w:val="NormalWeb"/>
        <w:ind w:left="480" w:hanging="480"/>
        <w:rPr>
          <w:noProof/>
          <w:sz w:val="24"/>
          <w:szCs w:val="24"/>
        </w:rPr>
      </w:pPr>
      <w:r w:rsidRPr="00114AD7">
        <w:rPr>
          <w:noProof/>
          <w:sz w:val="24"/>
          <w:szCs w:val="24"/>
        </w:rPr>
        <w:t>Timmins-Schiffman, E., O’Donnell, M. J., Friedman, C. S., &amp; Roberts, S. B. (2012). Elevated pCO</w:t>
      </w:r>
      <w:r w:rsidRPr="00114AD7">
        <w:rPr>
          <w:noProof/>
          <w:sz w:val="24"/>
          <w:szCs w:val="24"/>
          <w:vertAlign w:val="subscript"/>
        </w:rPr>
        <w:t>2</w:t>
      </w:r>
      <w:r w:rsidRPr="00114AD7">
        <w:rPr>
          <w:noProof/>
          <w:sz w:val="24"/>
          <w:szCs w:val="24"/>
        </w:rPr>
        <w:t xml:space="preserve"> causes developmental delay in early larval Pacific oysters, Crassostrea gigas. </w:t>
      </w:r>
      <w:r w:rsidRPr="00114AD7">
        <w:rPr>
          <w:i/>
          <w:iCs/>
          <w:noProof/>
          <w:sz w:val="24"/>
          <w:szCs w:val="24"/>
        </w:rPr>
        <w:t>Marine Biology</w:t>
      </w:r>
      <w:r w:rsidRPr="00114AD7">
        <w:rPr>
          <w:noProof/>
          <w:sz w:val="24"/>
          <w:szCs w:val="24"/>
        </w:rPr>
        <w:t xml:space="preserve">, </w:t>
      </w:r>
      <w:r w:rsidRPr="00114AD7">
        <w:rPr>
          <w:i/>
          <w:iCs/>
          <w:noProof/>
          <w:sz w:val="24"/>
          <w:szCs w:val="24"/>
        </w:rPr>
        <w:t>160</w:t>
      </w:r>
      <w:r w:rsidRPr="00114AD7">
        <w:rPr>
          <w:noProof/>
          <w:sz w:val="24"/>
          <w:szCs w:val="24"/>
        </w:rPr>
        <w:t>(8), 1973–1982. doi:10.1007/s00227-012-2055-x</w:t>
      </w:r>
    </w:p>
    <w:p w14:paraId="454DD39E" w14:textId="77777777" w:rsidR="00D92FB6" w:rsidRPr="00114AD7" w:rsidRDefault="00D92FB6" w:rsidP="00D92FB6">
      <w:pPr>
        <w:pStyle w:val="NormalWeb"/>
        <w:ind w:left="480" w:hanging="480"/>
        <w:rPr>
          <w:noProof/>
          <w:sz w:val="24"/>
          <w:szCs w:val="24"/>
        </w:rPr>
      </w:pPr>
      <w:r w:rsidRPr="00114AD7">
        <w:rPr>
          <w:noProof/>
          <w:sz w:val="24"/>
          <w:szCs w:val="24"/>
        </w:rPr>
        <w:t>Tomanek, L., Zuzow, M. J., Ivanina, A. V, Beniash, E., &amp; Sokolova, I. M. (2011). Proteomic response to elevated P</w:t>
      </w:r>
      <w:r w:rsidRPr="00114AD7">
        <w:rPr>
          <w:noProof/>
          <w:sz w:val="24"/>
          <w:szCs w:val="24"/>
          <w:vertAlign w:val="subscript"/>
        </w:rPr>
        <w:t>CO2</w:t>
      </w:r>
      <w:r w:rsidRPr="00114AD7">
        <w:rPr>
          <w:noProof/>
          <w:sz w:val="24"/>
          <w:szCs w:val="24"/>
        </w:rPr>
        <w:t xml:space="preserve"> level in eastern oysters, Crassostrea virginica: evidence for oxidative stress. </w:t>
      </w:r>
      <w:r w:rsidRPr="00114AD7">
        <w:rPr>
          <w:i/>
          <w:iCs/>
          <w:noProof/>
          <w:sz w:val="24"/>
          <w:szCs w:val="24"/>
        </w:rPr>
        <w:t>The Journal of experimental biology</w:t>
      </w:r>
      <w:r w:rsidRPr="00114AD7">
        <w:rPr>
          <w:noProof/>
          <w:sz w:val="24"/>
          <w:szCs w:val="24"/>
        </w:rPr>
        <w:t xml:space="preserve">, </w:t>
      </w:r>
      <w:r w:rsidRPr="00114AD7">
        <w:rPr>
          <w:i/>
          <w:iCs/>
          <w:noProof/>
          <w:sz w:val="24"/>
          <w:szCs w:val="24"/>
        </w:rPr>
        <w:t>214</w:t>
      </w:r>
      <w:r w:rsidRPr="00114AD7">
        <w:rPr>
          <w:noProof/>
          <w:sz w:val="24"/>
          <w:szCs w:val="24"/>
        </w:rPr>
        <w:t>(Pt 11), 1836–44. doi:10.1242/jeb.055475</w:t>
      </w:r>
    </w:p>
    <w:p w14:paraId="75F7103F" w14:textId="06D8A376" w:rsidR="00F831A9" w:rsidRPr="00114AD7" w:rsidRDefault="00F831A9" w:rsidP="00D92FB6">
      <w:pPr>
        <w:pStyle w:val="NormalWeb"/>
        <w:ind w:left="480" w:hanging="480"/>
        <w:rPr>
          <w:noProof/>
          <w:sz w:val="24"/>
          <w:szCs w:val="24"/>
        </w:rPr>
      </w:pPr>
      <w:r w:rsidRPr="00114AD7">
        <w:rPr>
          <w:noProof/>
          <w:sz w:val="24"/>
          <w:szCs w:val="24"/>
        </w:rPr>
        <w:t xml:space="preserve">Trimble, A.C., Ruesink, J.L., and Dumbauld, B.R. (2009). Factors preventing the recovery of a historically overexploited shellfish species, </w:t>
      </w:r>
      <w:r w:rsidRPr="00114AD7">
        <w:rPr>
          <w:i/>
          <w:noProof/>
          <w:sz w:val="24"/>
          <w:szCs w:val="24"/>
        </w:rPr>
        <w:t xml:space="preserve">Ostrea lurida </w:t>
      </w:r>
      <w:r w:rsidRPr="00114AD7">
        <w:rPr>
          <w:noProof/>
          <w:sz w:val="24"/>
          <w:szCs w:val="24"/>
        </w:rPr>
        <w:t xml:space="preserve">Carpenter 1864. </w:t>
      </w:r>
      <w:r w:rsidRPr="00114AD7">
        <w:rPr>
          <w:i/>
          <w:noProof/>
          <w:sz w:val="24"/>
          <w:szCs w:val="24"/>
        </w:rPr>
        <w:t>Journal of Shellfish Research</w:t>
      </w:r>
      <w:r w:rsidRPr="00114AD7">
        <w:rPr>
          <w:noProof/>
          <w:sz w:val="24"/>
          <w:szCs w:val="24"/>
        </w:rPr>
        <w:t xml:space="preserve">, </w:t>
      </w:r>
      <w:r w:rsidRPr="00114AD7">
        <w:rPr>
          <w:i/>
          <w:noProof/>
          <w:sz w:val="24"/>
          <w:szCs w:val="24"/>
        </w:rPr>
        <w:t>28</w:t>
      </w:r>
      <w:r w:rsidRPr="00114AD7">
        <w:rPr>
          <w:noProof/>
          <w:sz w:val="24"/>
          <w:szCs w:val="24"/>
        </w:rPr>
        <w:t>(1), 97-106. doi: 10.2983/035.028.0116</w:t>
      </w:r>
    </w:p>
    <w:p w14:paraId="55BC2818" w14:textId="77777777" w:rsidR="00D92FB6" w:rsidRPr="00114AD7" w:rsidRDefault="00D92FB6" w:rsidP="00D92FB6">
      <w:pPr>
        <w:pStyle w:val="NormalWeb"/>
        <w:ind w:left="480" w:hanging="480"/>
        <w:rPr>
          <w:noProof/>
          <w:sz w:val="24"/>
          <w:szCs w:val="24"/>
        </w:rPr>
      </w:pPr>
      <w:r w:rsidRPr="00114AD7">
        <w:rPr>
          <w:noProof/>
          <w:sz w:val="24"/>
          <w:szCs w:val="24"/>
        </w:rPr>
        <w:t xml:space="preserve">Waldbusser, G., Bergschneider, H., &amp; Green, M. (2010). Size-dependent pH effect on calcification in post-larval hard clam Mercenaria spp. </w:t>
      </w:r>
      <w:r w:rsidRPr="00114AD7">
        <w:rPr>
          <w:i/>
          <w:iCs/>
          <w:noProof/>
          <w:sz w:val="24"/>
          <w:szCs w:val="24"/>
        </w:rPr>
        <w:t>Marine Ecology Progress Series</w:t>
      </w:r>
      <w:r w:rsidRPr="00114AD7">
        <w:rPr>
          <w:noProof/>
          <w:sz w:val="24"/>
          <w:szCs w:val="24"/>
        </w:rPr>
        <w:t xml:space="preserve">, </w:t>
      </w:r>
      <w:r w:rsidRPr="00114AD7">
        <w:rPr>
          <w:i/>
          <w:iCs/>
          <w:noProof/>
          <w:sz w:val="24"/>
          <w:szCs w:val="24"/>
        </w:rPr>
        <w:t>417</w:t>
      </w:r>
      <w:r w:rsidRPr="00114AD7">
        <w:rPr>
          <w:noProof/>
          <w:sz w:val="24"/>
          <w:szCs w:val="24"/>
        </w:rPr>
        <w:t>(x), 171–182. doi:10.3354/meps08809</w:t>
      </w:r>
    </w:p>
    <w:p w14:paraId="2E5AF670" w14:textId="0CD180D9" w:rsidR="00D92FB6" w:rsidRPr="00114AD7" w:rsidRDefault="00D92FB6" w:rsidP="00D92FB6">
      <w:pPr>
        <w:pStyle w:val="NormalWeb"/>
        <w:ind w:left="480" w:hanging="480"/>
        <w:rPr>
          <w:noProof/>
          <w:sz w:val="24"/>
          <w:szCs w:val="24"/>
        </w:rPr>
      </w:pPr>
      <w:r w:rsidRPr="00114AD7">
        <w:rPr>
          <w:noProof/>
          <w:sz w:val="24"/>
          <w:szCs w:val="24"/>
        </w:rPr>
        <w:t>Waldbusser, G.</w:t>
      </w:r>
      <w:r w:rsidR="00791791">
        <w:rPr>
          <w:noProof/>
          <w:sz w:val="24"/>
          <w:szCs w:val="24"/>
        </w:rPr>
        <w:t xml:space="preserve"> G., Brunner, E. L., Haley, B.A</w:t>
      </w:r>
      <w:r w:rsidRPr="00114AD7">
        <w:rPr>
          <w:noProof/>
          <w:sz w:val="24"/>
          <w:szCs w:val="24"/>
        </w:rPr>
        <w:t xml:space="preserve">., Hales, B., Langdon, C. J., &amp; Prahl, F. G. (2013). A developmental and energetic basis linking larval oyster shell formation to acidification sensitivity. </w:t>
      </w:r>
      <w:r w:rsidRPr="00114AD7">
        <w:rPr>
          <w:i/>
          <w:iCs/>
          <w:noProof/>
          <w:sz w:val="24"/>
          <w:szCs w:val="24"/>
        </w:rPr>
        <w:t>Geophysical Research Letters</w:t>
      </w:r>
      <w:r w:rsidRPr="00114AD7">
        <w:rPr>
          <w:noProof/>
          <w:sz w:val="24"/>
          <w:szCs w:val="24"/>
        </w:rPr>
        <w:t xml:space="preserve">, </w:t>
      </w:r>
      <w:r w:rsidRPr="00114AD7">
        <w:rPr>
          <w:i/>
          <w:iCs/>
          <w:noProof/>
          <w:sz w:val="24"/>
          <w:szCs w:val="24"/>
        </w:rPr>
        <w:t>40</w:t>
      </w:r>
      <w:r w:rsidRPr="00114AD7">
        <w:rPr>
          <w:noProof/>
          <w:sz w:val="24"/>
          <w:szCs w:val="24"/>
        </w:rPr>
        <w:t>(10), 2171–2176. doi:10.1002/grl.50449</w:t>
      </w:r>
    </w:p>
    <w:p w14:paraId="72ACF8BB" w14:textId="77777777" w:rsidR="00D92FB6" w:rsidRPr="00114AD7" w:rsidRDefault="00D92FB6" w:rsidP="00D92FB6">
      <w:pPr>
        <w:pStyle w:val="NormalWeb"/>
        <w:ind w:left="480" w:hanging="480"/>
        <w:rPr>
          <w:noProof/>
          <w:sz w:val="24"/>
          <w:szCs w:val="24"/>
        </w:rPr>
      </w:pPr>
      <w:r w:rsidRPr="00114AD7">
        <w:rPr>
          <w:noProof/>
          <w:sz w:val="24"/>
          <w:szCs w:val="24"/>
        </w:rPr>
        <w:t>Welladsen, H. M., Southgate, P. C., &amp; Heimann, K. (2010). The effects of exposure to near-future levels of ocean acidification on shell characteristics of Pinctada fucata ( Bivalvia</w:t>
      </w:r>
      <w:r w:rsidRPr="00114AD7">
        <w:rPr>
          <w:rFonts w:ascii="Times New Roman" w:hAnsi="Times New Roman"/>
          <w:noProof/>
          <w:sz w:val="24"/>
          <w:szCs w:val="24"/>
        </w:rPr>
        <w:t> </w:t>
      </w:r>
      <w:r w:rsidRPr="00114AD7">
        <w:rPr>
          <w:noProof/>
          <w:sz w:val="24"/>
          <w:szCs w:val="24"/>
        </w:rPr>
        <w:t xml:space="preserve">: Pteriidae ). </w:t>
      </w:r>
      <w:r w:rsidRPr="00114AD7">
        <w:rPr>
          <w:i/>
          <w:noProof/>
          <w:sz w:val="24"/>
          <w:szCs w:val="24"/>
        </w:rPr>
        <w:t>Molluscan Research,</w:t>
      </w:r>
      <w:r w:rsidRPr="00114AD7">
        <w:rPr>
          <w:noProof/>
          <w:sz w:val="24"/>
          <w:szCs w:val="24"/>
        </w:rPr>
        <w:t xml:space="preserve"> </w:t>
      </w:r>
      <w:r w:rsidRPr="00114AD7">
        <w:rPr>
          <w:i/>
          <w:iCs/>
          <w:noProof/>
          <w:sz w:val="24"/>
          <w:szCs w:val="24"/>
        </w:rPr>
        <w:t>30</w:t>
      </w:r>
      <w:r w:rsidRPr="00114AD7">
        <w:rPr>
          <w:noProof/>
          <w:sz w:val="24"/>
          <w:szCs w:val="24"/>
        </w:rPr>
        <w:t>(3), 125–130.</w:t>
      </w:r>
    </w:p>
    <w:p w14:paraId="70CF1A29" w14:textId="77777777" w:rsidR="00D92FB6" w:rsidRPr="00114AD7" w:rsidRDefault="00D92FB6" w:rsidP="00D92FB6">
      <w:pPr>
        <w:pStyle w:val="NormalWeb"/>
        <w:ind w:left="480" w:hanging="480"/>
        <w:rPr>
          <w:noProof/>
          <w:sz w:val="24"/>
          <w:szCs w:val="24"/>
        </w:rPr>
      </w:pPr>
      <w:r w:rsidRPr="00114AD7">
        <w:rPr>
          <w:noProof/>
          <w:sz w:val="24"/>
          <w:szCs w:val="24"/>
        </w:rPr>
        <w:t>Wong, K. K. W., Lane, A. C., Leung, P. T. Y., &amp; Thiyagarajan, V. (2011). Response of larval barnacle proteome to CO</w:t>
      </w:r>
      <w:r w:rsidRPr="00114AD7">
        <w:rPr>
          <w:noProof/>
          <w:sz w:val="24"/>
          <w:szCs w:val="24"/>
          <w:vertAlign w:val="subscript"/>
        </w:rPr>
        <w:t>2</w:t>
      </w:r>
      <w:r w:rsidRPr="00114AD7">
        <w:rPr>
          <w:noProof/>
          <w:sz w:val="24"/>
          <w:szCs w:val="24"/>
        </w:rPr>
        <w:t xml:space="preserve">-driven seawater acidification. </w:t>
      </w:r>
      <w:r w:rsidRPr="00114AD7">
        <w:rPr>
          <w:i/>
          <w:iCs/>
          <w:noProof/>
          <w:sz w:val="24"/>
          <w:szCs w:val="24"/>
        </w:rPr>
        <w:t>Comparative biochemistry and physiology. Part D, Genomics &amp; proteomics</w:t>
      </w:r>
      <w:r w:rsidRPr="00114AD7">
        <w:rPr>
          <w:noProof/>
          <w:sz w:val="24"/>
          <w:szCs w:val="24"/>
        </w:rPr>
        <w:t xml:space="preserve">, </w:t>
      </w:r>
      <w:r w:rsidRPr="00114AD7">
        <w:rPr>
          <w:i/>
          <w:iCs/>
          <w:noProof/>
          <w:sz w:val="24"/>
          <w:szCs w:val="24"/>
        </w:rPr>
        <w:t>6</w:t>
      </w:r>
      <w:r w:rsidRPr="00114AD7">
        <w:rPr>
          <w:noProof/>
          <w:sz w:val="24"/>
          <w:szCs w:val="24"/>
        </w:rPr>
        <w:t>(3), 310–21. doi:10.1016/j.cbd.2011.07.001</w:t>
      </w:r>
    </w:p>
    <w:p w14:paraId="542B9D64" w14:textId="77777777" w:rsidR="00D92FB6" w:rsidRPr="00114AD7" w:rsidRDefault="00D92FB6" w:rsidP="00D92FB6">
      <w:pPr>
        <w:pStyle w:val="NormalWeb"/>
        <w:ind w:left="480" w:hanging="480"/>
        <w:rPr>
          <w:noProof/>
          <w:sz w:val="24"/>
          <w:szCs w:val="24"/>
        </w:rPr>
      </w:pPr>
      <w:r w:rsidRPr="00114AD7">
        <w:rPr>
          <w:noProof/>
          <w:sz w:val="24"/>
          <w:szCs w:val="24"/>
        </w:rPr>
        <w:t>Zeebe, R. E. (2012). History of Seawater Carbonate Chemistry, Atmospheric CO</w:t>
      </w:r>
      <w:r w:rsidRPr="00114AD7">
        <w:rPr>
          <w:noProof/>
          <w:sz w:val="24"/>
          <w:szCs w:val="24"/>
          <w:vertAlign w:val="subscript"/>
        </w:rPr>
        <w:t>2</w:t>
      </w:r>
      <w:r w:rsidRPr="00114AD7">
        <w:rPr>
          <w:noProof/>
          <w:sz w:val="24"/>
          <w:szCs w:val="24"/>
        </w:rPr>
        <w:t xml:space="preserve"> , and Ocean Acidification. </w:t>
      </w:r>
      <w:r w:rsidRPr="00114AD7">
        <w:rPr>
          <w:i/>
          <w:iCs/>
          <w:noProof/>
          <w:sz w:val="24"/>
          <w:szCs w:val="24"/>
        </w:rPr>
        <w:t>Annual Review of Earth and Planetary Sciences</w:t>
      </w:r>
      <w:r w:rsidRPr="00114AD7">
        <w:rPr>
          <w:noProof/>
          <w:sz w:val="24"/>
          <w:szCs w:val="24"/>
        </w:rPr>
        <w:t xml:space="preserve">, </w:t>
      </w:r>
      <w:r w:rsidRPr="00114AD7">
        <w:rPr>
          <w:i/>
          <w:iCs/>
          <w:noProof/>
          <w:sz w:val="24"/>
          <w:szCs w:val="24"/>
        </w:rPr>
        <w:t>40</w:t>
      </w:r>
      <w:r w:rsidRPr="00114AD7">
        <w:rPr>
          <w:noProof/>
          <w:sz w:val="24"/>
          <w:szCs w:val="24"/>
        </w:rPr>
        <w:t>(1), 141–165. doi:10.1146/annurev-earth-042711-105521</w:t>
      </w:r>
    </w:p>
    <w:p w14:paraId="2841E0F8" w14:textId="6EB0AAE7" w:rsidR="00D92FB6" w:rsidRPr="00114AD7" w:rsidRDefault="00D92FB6" w:rsidP="00D92FB6">
      <w:pPr>
        <w:pStyle w:val="NormalWeb"/>
        <w:ind w:left="480" w:hanging="480"/>
        <w:rPr>
          <w:noProof/>
          <w:sz w:val="24"/>
          <w:szCs w:val="24"/>
        </w:rPr>
      </w:pPr>
      <w:r w:rsidRPr="00114AD7">
        <w:rPr>
          <w:noProof/>
          <w:sz w:val="24"/>
          <w:szCs w:val="24"/>
        </w:rPr>
        <w:t>Zhang, G., Fang, X., Guo, X., L</w:t>
      </w:r>
      <w:r w:rsidR="00791791">
        <w:rPr>
          <w:noProof/>
          <w:sz w:val="24"/>
          <w:szCs w:val="24"/>
        </w:rPr>
        <w:t>i, L., Luo, R., Xu, F., Pengcheng, Y., Zhang, L., Wang, X., Qi, H. et al.</w:t>
      </w:r>
      <w:r w:rsidRPr="00114AD7">
        <w:rPr>
          <w:noProof/>
          <w:sz w:val="24"/>
          <w:szCs w:val="24"/>
        </w:rPr>
        <w:t xml:space="preserve"> (2012). The oyster genome reveals stress adaptation and complexity of shell formation. </w:t>
      </w:r>
      <w:r w:rsidRPr="00114AD7">
        <w:rPr>
          <w:i/>
          <w:iCs/>
          <w:noProof/>
          <w:sz w:val="24"/>
          <w:szCs w:val="24"/>
        </w:rPr>
        <w:t>Nature</w:t>
      </w:r>
      <w:r w:rsidRPr="00114AD7">
        <w:rPr>
          <w:noProof/>
          <w:sz w:val="24"/>
          <w:szCs w:val="24"/>
        </w:rPr>
        <w:t xml:space="preserve">, </w:t>
      </w:r>
      <w:r w:rsidRPr="00114AD7">
        <w:rPr>
          <w:i/>
          <w:iCs/>
          <w:noProof/>
          <w:sz w:val="24"/>
          <w:szCs w:val="24"/>
        </w:rPr>
        <w:t>490</w:t>
      </w:r>
      <w:r w:rsidRPr="00114AD7">
        <w:rPr>
          <w:noProof/>
          <w:sz w:val="24"/>
          <w:szCs w:val="24"/>
        </w:rPr>
        <w:t>(7418), 49–54. doi:10.1038/nature11413</w:t>
      </w:r>
    </w:p>
    <w:p w14:paraId="6D3FC816" w14:textId="77777777" w:rsidR="00114AD7" w:rsidRDefault="00D92FB6" w:rsidP="00114AD7">
      <w:pPr>
        <w:rPr>
          <w:rFonts w:ascii="Times" w:hAnsi="Times"/>
        </w:rPr>
      </w:pPr>
      <w:r w:rsidRPr="00114AD7">
        <w:rPr>
          <w:rFonts w:ascii="Times" w:hAnsi="Times"/>
        </w:rPr>
        <w:fldChar w:fldCharType="end"/>
      </w:r>
    </w:p>
    <w:p w14:paraId="3E3DD729" w14:textId="42EBEA9B" w:rsidR="00C02D9B" w:rsidRPr="00114AD7" w:rsidRDefault="00C02D9B" w:rsidP="00114AD7">
      <w:pPr>
        <w:pStyle w:val="Heading1"/>
      </w:pPr>
      <w:bookmarkStart w:id="15" w:name="_Toc257278769"/>
      <w:r>
        <w:t xml:space="preserve">Chapter I: Elevated </w:t>
      </w:r>
      <w:r w:rsidRPr="005643FD">
        <w:rPr>
          <w:i/>
        </w:rPr>
        <w:t>p</w:t>
      </w:r>
      <w:r>
        <w:t>CO</w:t>
      </w:r>
      <w:r w:rsidRPr="00860E0A">
        <w:rPr>
          <w:vertAlign w:val="subscript"/>
        </w:rPr>
        <w:t>2</w:t>
      </w:r>
      <w:r>
        <w:t xml:space="preserve"> causes developmental delay in early larval Pacific oysters, </w:t>
      </w:r>
      <w:r>
        <w:rPr>
          <w:i/>
        </w:rPr>
        <w:t>Crassostrea gigas</w:t>
      </w:r>
      <w:bookmarkEnd w:id="15"/>
    </w:p>
    <w:p w14:paraId="74F3CB67" w14:textId="77777777" w:rsidR="00722A74" w:rsidRDefault="00722A74" w:rsidP="00722A74"/>
    <w:p w14:paraId="47CF1C1D" w14:textId="3293C426" w:rsidR="00722A74" w:rsidRPr="00114AD7" w:rsidRDefault="00724B3E" w:rsidP="00722A74">
      <w:pPr>
        <w:rPr>
          <w:rFonts w:ascii="Times" w:hAnsi="Times"/>
        </w:rPr>
      </w:pPr>
      <w:r w:rsidRPr="00114AD7">
        <w:rPr>
          <w:rFonts w:ascii="Times" w:hAnsi="Times"/>
        </w:rPr>
        <w:t>A version of this chapter was p</w:t>
      </w:r>
      <w:r w:rsidR="00722A74" w:rsidRPr="00114AD7">
        <w:rPr>
          <w:rFonts w:ascii="Times" w:hAnsi="Times"/>
        </w:rPr>
        <w:t xml:space="preserve">ublished in Marine Biology as: Timmins-Schiffman, E., O’Donnell, M.J., Friedman, C.S., and Roberts, S.B. 2013. Elevated </w:t>
      </w:r>
      <w:r w:rsidR="00722A74" w:rsidRPr="00114AD7">
        <w:rPr>
          <w:rFonts w:ascii="Times" w:hAnsi="Times"/>
          <w:i/>
        </w:rPr>
        <w:t>p</w:t>
      </w:r>
      <w:r w:rsidR="00722A74" w:rsidRPr="00114AD7">
        <w:rPr>
          <w:rFonts w:ascii="Times" w:hAnsi="Times"/>
        </w:rPr>
        <w:t>CO</w:t>
      </w:r>
      <w:r w:rsidR="00722A74" w:rsidRPr="00114AD7">
        <w:rPr>
          <w:rFonts w:ascii="Times" w:hAnsi="Times"/>
          <w:vertAlign w:val="subscript"/>
        </w:rPr>
        <w:t>2</w:t>
      </w:r>
      <w:r w:rsidR="00722A74" w:rsidRPr="00114AD7">
        <w:rPr>
          <w:rFonts w:ascii="Times" w:hAnsi="Times"/>
        </w:rPr>
        <w:t xml:space="preserve"> causes developmental delay in early larval Pacific oysters, </w:t>
      </w:r>
      <w:r w:rsidR="00722A74" w:rsidRPr="00114AD7">
        <w:rPr>
          <w:rFonts w:ascii="Times" w:hAnsi="Times"/>
          <w:i/>
        </w:rPr>
        <w:t>Crassostrea gigas</w:t>
      </w:r>
      <w:r w:rsidR="00722A74" w:rsidRPr="00114AD7">
        <w:rPr>
          <w:rFonts w:ascii="Times" w:hAnsi="Times"/>
        </w:rPr>
        <w:t>. Mar Biol, 160: 1973-1982. doi 10.1007/s00227-012-2055-x</w:t>
      </w:r>
    </w:p>
    <w:p w14:paraId="65740A72" w14:textId="77777777" w:rsidR="00C02D9B" w:rsidRDefault="00C02D9B" w:rsidP="00C02D9B">
      <w:pPr>
        <w:pStyle w:val="Heading2"/>
      </w:pPr>
      <w:bookmarkStart w:id="16" w:name="_Toc257278770"/>
      <w:r>
        <w:t>Abstract</w:t>
      </w:r>
      <w:bookmarkEnd w:id="16"/>
    </w:p>
    <w:p w14:paraId="249F7894" w14:textId="77777777" w:rsidR="005643FD" w:rsidRPr="005643FD" w:rsidRDefault="005643FD" w:rsidP="005643FD"/>
    <w:p w14:paraId="2FC1AD5A" w14:textId="0879C1CB" w:rsidR="00C02D9B" w:rsidRPr="00353A53" w:rsidRDefault="00C02D9B" w:rsidP="00426D9F">
      <w:pPr>
        <w:widowControl w:val="0"/>
        <w:autoSpaceDE w:val="0"/>
        <w:autoSpaceDN w:val="0"/>
        <w:adjustRightInd w:val="0"/>
        <w:spacing w:line="360" w:lineRule="auto"/>
        <w:rPr>
          <w:rFonts w:ascii="Times" w:hAnsi="Times" w:cs="AdvPTimes"/>
        </w:rPr>
      </w:pPr>
      <w:r w:rsidRPr="00353A53">
        <w:rPr>
          <w:rFonts w:ascii="Times" w:hAnsi="Times" w:cs="AdvPTimes"/>
        </w:rPr>
        <w:t>Increasing atmospheric CO</w:t>
      </w:r>
      <w:r w:rsidRPr="009454B5">
        <w:rPr>
          <w:rFonts w:ascii="Times" w:hAnsi="Times" w:cs="AdvPTimes"/>
          <w:vertAlign w:val="subscript"/>
        </w:rPr>
        <w:t>2</w:t>
      </w:r>
      <w:r w:rsidRPr="00353A53">
        <w:rPr>
          <w:rFonts w:ascii="Times" w:hAnsi="Times" w:cs="AdvPTimes"/>
        </w:rPr>
        <w:t xml:space="preserve"> equilibrates with surface seawater, elevating the concentration of aqueous hydrogen ions. This process, ocean acidification, is a future and contemporary concern for aquatic organisms, causing failures in Pacific oyster (</w:t>
      </w:r>
      <w:r w:rsidRPr="00353A53">
        <w:rPr>
          <w:rFonts w:ascii="Times" w:hAnsi="Times" w:cs="AdvPTimes"/>
          <w:i/>
        </w:rPr>
        <w:t>Crassostrea gigas</w:t>
      </w:r>
      <w:r w:rsidRPr="00353A53">
        <w:rPr>
          <w:rFonts w:ascii="Times" w:hAnsi="Times" w:cs="AdvPTimes"/>
        </w:rPr>
        <w:t xml:space="preserve">) aquaculture.  This experiment determines the effect of elevated </w:t>
      </w:r>
      <w:r w:rsidRPr="00353A53">
        <w:rPr>
          <w:rFonts w:ascii="Times" w:hAnsi="Times" w:cs="AdvPTimes"/>
          <w:i/>
        </w:rPr>
        <w:t>p</w:t>
      </w:r>
      <w:r w:rsidRPr="00353A53">
        <w:rPr>
          <w:rFonts w:ascii="Times" w:hAnsi="Times" w:cs="AdvPTimes"/>
        </w:rPr>
        <w:t>CO</w:t>
      </w:r>
      <w:r w:rsidRPr="00353A53">
        <w:rPr>
          <w:rFonts w:ascii="Times" w:hAnsi="Times" w:cs="AdvPTimes"/>
          <w:vertAlign w:val="subscript"/>
        </w:rPr>
        <w:t>2</w:t>
      </w:r>
      <w:r w:rsidRPr="00353A53">
        <w:rPr>
          <w:rFonts w:ascii="Times" w:hAnsi="Times" w:cs="AdvPTimes"/>
        </w:rPr>
        <w:t xml:space="preserve"> on the early development of </w:t>
      </w:r>
      <w:r w:rsidRPr="00353A53">
        <w:rPr>
          <w:rFonts w:ascii="Times" w:hAnsi="Times" w:cs="AdvPTimes"/>
          <w:i/>
        </w:rPr>
        <w:t>C. gigas</w:t>
      </w:r>
      <w:r w:rsidRPr="00353A53">
        <w:rPr>
          <w:rFonts w:ascii="Times" w:hAnsi="Times" w:cs="AdvPTimes"/>
        </w:rPr>
        <w:t xml:space="preserve"> larvae from a wild Pacific Northwest population. Adults were collected from Fri</w:t>
      </w:r>
      <w:r w:rsidR="00353A53">
        <w:rPr>
          <w:rFonts w:ascii="Times" w:hAnsi="Times" w:cs="AdvPTimes"/>
        </w:rPr>
        <w:t>day Harbor, Washington, USA (48°31’</w:t>
      </w:r>
      <w:r w:rsidRPr="00353A53">
        <w:rPr>
          <w:rFonts w:ascii="Times" w:hAnsi="Times" w:cs="AdvPTimes"/>
        </w:rPr>
        <w:t>70</w:t>
      </w:r>
      <w:r w:rsidR="00353A53">
        <w:rPr>
          <w:rFonts w:ascii="Times" w:hAnsi="Times" w:cs="AdvPTimes"/>
        </w:rPr>
        <w:t>N, 12°1’</w:t>
      </w:r>
      <w:r w:rsidRPr="00353A53">
        <w:rPr>
          <w:rFonts w:ascii="Times" w:hAnsi="Times" w:cs="AdvPTimes"/>
        </w:rPr>
        <w:t>10W) and spawned in July 2011. Larva</w:t>
      </w:r>
      <w:r w:rsidR="00353A53">
        <w:rPr>
          <w:rFonts w:ascii="Times" w:hAnsi="Times" w:cs="AdvPTimes"/>
        </w:rPr>
        <w:t>e were exposed to Ambient (400 μ</w:t>
      </w:r>
      <w:r w:rsidRPr="00353A53">
        <w:rPr>
          <w:rFonts w:ascii="Times" w:hAnsi="Times" w:cs="AdvPTimes"/>
        </w:rPr>
        <w:t>atm CO</w:t>
      </w:r>
      <w:r w:rsidRPr="00353A53">
        <w:rPr>
          <w:rFonts w:ascii="Times" w:hAnsi="Times" w:cs="AdvPTimes"/>
          <w:vertAlign w:val="subscript"/>
        </w:rPr>
        <w:t>2</w:t>
      </w:r>
      <w:r w:rsidRPr="00353A53">
        <w:rPr>
          <w:rFonts w:ascii="Times" w:hAnsi="Times" w:cs="AdvPTimes"/>
        </w:rPr>
        <w:t>), MidCO</w:t>
      </w:r>
      <w:r w:rsidRPr="00353A53">
        <w:rPr>
          <w:rFonts w:ascii="Times" w:hAnsi="Times" w:cs="AdvPTimes"/>
          <w:vertAlign w:val="subscript"/>
        </w:rPr>
        <w:t>2</w:t>
      </w:r>
      <w:r w:rsidRPr="00353A53">
        <w:rPr>
          <w:rFonts w:ascii="Times" w:hAnsi="Times" w:cs="AdvPTimes"/>
        </w:rPr>
        <w:t xml:space="preserve"> </w:t>
      </w:r>
      <w:r w:rsidR="00353A53">
        <w:rPr>
          <w:rFonts w:ascii="Times" w:hAnsi="Times" w:cs="AdvPTimes"/>
        </w:rPr>
        <w:t>(700 μ</w:t>
      </w:r>
      <w:r w:rsidRPr="00353A53">
        <w:rPr>
          <w:rFonts w:ascii="Times" w:hAnsi="Times" w:cs="AdvPTimes"/>
        </w:rPr>
        <w:t>atm), or HighCO</w:t>
      </w:r>
      <w:r w:rsidRPr="00353A53">
        <w:rPr>
          <w:rFonts w:ascii="Times" w:hAnsi="Times" w:cs="AdvPTimes"/>
          <w:vertAlign w:val="subscript"/>
        </w:rPr>
        <w:t>2</w:t>
      </w:r>
      <w:r w:rsidR="00353A53">
        <w:rPr>
          <w:rFonts w:ascii="Times" w:hAnsi="Times" w:cs="AdvPTimes"/>
        </w:rPr>
        <w:t xml:space="preserve"> (1,000 μ</w:t>
      </w:r>
      <w:r w:rsidRPr="00353A53">
        <w:rPr>
          <w:rFonts w:ascii="Times" w:hAnsi="Times" w:cs="AdvPTimes"/>
        </w:rPr>
        <w:t>atm). After 24 h, a greater proportion of larvae in the HighCO</w:t>
      </w:r>
      <w:r w:rsidRPr="00353A53">
        <w:rPr>
          <w:rFonts w:ascii="Times" w:hAnsi="Times" w:cs="AdvPTimes"/>
          <w:vertAlign w:val="subscript"/>
        </w:rPr>
        <w:t>2</w:t>
      </w:r>
      <w:r w:rsidRPr="00353A53">
        <w:rPr>
          <w:rFonts w:ascii="Times" w:hAnsi="Times" w:cs="AdvPTimes"/>
        </w:rPr>
        <w:t xml:space="preserve"> treatment were calcified as compared to Ambient. This unexpected observation is attributed to increased metabolic rate coupled with sufficient energy resources. Oyster larvae raised at HighCO</w:t>
      </w:r>
      <w:r w:rsidR="00A14DF5" w:rsidRPr="00A14DF5">
        <w:rPr>
          <w:rFonts w:ascii="Times" w:hAnsi="Times" w:cs="AdvPTimes"/>
          <w:vertAlign w:val="subscript"/>
        </w:rPr>
        <w:t>2</w:t>
      </w:r>
      <w:r w:rsidRPr="00353A53">
        <w:rPr>
          <w:rFonts w:ascii="Times" w:hAnsi="Times" w:cs="AdvPTimes"/>
        </w:rPr>
        <w:t xml:space="preserve"> showed evidence of a developmental delay by 3 days post-fertilization, which resulted in smaller larvae that were less calcified.</w:t>
      </w:r>
    </w:p>
    <w:p w14:paraId="34242BCA" w14:textId="77777777" w:rsidR="00C02D9B" w:rsidRDefault="00C02D9B" w:rsidP="00C02D9B">
      <w:pPr>
        <w:pStyle w:val="Heading2"/>
      </w:pPr>
      <w:bookmarkStart w:id="17" w:name="_Toc257278771"/>
      <w:r>
        <w:t>Introduction</w:t>
      </w:r>
      <w:bookmarkEnd w:id="17"/>
    </w:p>
    <w:p w14:paraId="14E18AED" w14:textId="77777777" w:rsidR="005643FD" w:rsidRPr="005643FD" w:rsidRDefault="005643FD" w:rsidP="005643FD"/>
    <w:p w14:paraId="6AB0B2E8" w14:textId="0C2B7BED" w:rsidR="00E01B09" w:rsidRPr="0052729A" w:rsidRDefault="00C02D9B"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Ocean acidification is expected to affect ecosystems at an accelerating pace over the next century (Caldeira and Wickett 2003; IPCC 2007). Seawater pH declines (acidifies) in association with the uptake of anthropogenic CO</w:t>
      </w:r>
      <w:r w:rsidRPr="0052729A">
        <w:rPr>
          <w:rFonts w:ascii="Times" w:hAnsi="Times" w:cs="AdvPTimes"/>
          <w:vertAlign w:val="subscript"/>
        </w:rPr>
        <w:t>2</w:t>
      </w:r>
      <w:r w:rsidR="00353A53" w:rsidRPr="0052729A">
        <w:rPr>
          <w:rFonts w:ascii="Times" w:hAnsi="Times" w:cs="AdvPTimes"/>
        </w:rPr>
        <w:t xml:space="preserve"> and resultant increased H</w:t>
      </w:r>
      <w:r w:rsidR="00353A53" w:rsidRPr="0052729A">
        <w:rPr>
          <w:rFonts w:ascii="Times" w:hAnsi="Times" w:cs="AdvPTimes"/>
          <w:vertAlign w:val="superscript"/>
        </w:rPr>
        <w:t>+</w:t>
      </w:r>
      <w:r w:rsidRPr="0052729A">
        <w:rPr>
          <w:rFonts w:ascii="Times" w:hAnsi="Times" w:cs="AdvPTimes"/>
        </w:rPr>
        <w:t xml:space="preserve"> ion concentration. Projected changes in atmospheric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Pr="0052729A">
        <w:rPr>
          <w:rFonts w:ascii="Times" w:hAnsi="Times" w:cs="AdvPTimes"/>
        </w:rPr>
        <w:t xml:space="preserve"> may have significant consequences for natural populations ranging from physiological changes to broad-scale range shifts (Talmage and Gobler 2011; O’Donnell et al. 2009; Wong et al. 2011; Tomanek et al. 2011; Banks et al. 2010; Perry et al. 2005).  Acidification of nearshore waters can occur via a variety of processes, including equilibration with elevated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Pr="0052729A">
        <w:rPr>
          <w:rFonts w:ascii="Times" w:hAnsi="Times" w:cs="AdvPTimes"/>
        </w:rPr>
        <w:t xml:space="preserve"> in the atmosphere, upwelling events, terrestrial run-off, and respiration. The upper ocean acidification in the North Pacific is proportional to the anthropogenic increase in atmospheric CO</w:t>
      </w:r>
      <w:r w:rsidRPr="0052729A">
        <w:rPr>
          <w:rFonts w:ascii="Times" w:hAnsi="Times" w:cs="AdvPTimes"/>
          <w:vertAlign w:val="subscript"/>
        </w:rPr>
        <w:t>2</w:t>
      </w:r>
      <w:r w:rsidRPr="0052729A">
        <w:rPr>
          <w:rFonts w:ascii="Times" w:hAnsi="Times" w:cs="AdvPTimes"/>
        </w:rPr>
        <w:t>, enforcing that the present-day pH changes are outside the range of natural variability (Byrne et al. 2010a, b). In addition to atmospheric sources of CO</w:t>
      </w:r>
      <w:r w:rsidRPr="0052729A">
        <w:rPr>
          <w:rFonts w:ascii="Times" w:hAnsi="Times" w:cs="AdvPTimes"/>
          <w:vertAlign w:val="subscript"/>
        </w:rPr>
        <w:t>2</w:t>
      </w:r>
      <w:r w:rsidRPr="0052729A">
        <w:rPr>
          <w:rFonts w:ascii="Times" w:hAnsi="Times" w:cs="AdvPTimes"/>
        </w:rPr>
        <w:t>, oceanic upwelling and nearshore respiration further reduce the pH of water in which larvae develop (as low as pH 7.4 along the west coast of North America) and increasingly result in waters undersaturated with respect to aragonite (Feely et al. 2008, 2010). During the spring and summer off the US west coast, upwelling of waters rich in CO</w:t>
      </w:r>
      <w:r w:rsidRPr="0052729A">
        <w:rPr>
          <w:rFonts w:ascii="Times" w:hAnsi="Times" w:cs="AdvPTimes"/>
          <w:vertAlign w:val="subscript"/>
        </w:rPr>
        <w:t>2</w:t>
      </w:r>
      <w:r w:rsidRPr="0052729A">
        <w:rPr>
          <w:rFonts w:ascii="Times" w:hAnsi="Times" w:cs="AdvPTimes"/>
        </w:rPr>
        <w:t xml:space="preserve"> and respiration from nearshore biological activity can cause under saturation of nearshore waters (Feely et al. 2008, 2010; Fassbender et al. 2011). These contemporary processes occur in the same area where planktonic invertebrate larvae congregate. As CO</w:t>
      </w:r>
      <w:r w:rsidRPr="0052729A">
        <w:rPr>
          <w:rFonts w:ascii="Times" w:hAnsi="Times" w:cs="AdvPTimes"/>
          <w:vertAlign w:val="subscript"/>
        </w:rPr>
        <w:t>2</w:t>
      </w:r>
      <w:r w:rsidRPr="0052729A">
        <w:rPr>
          <w:rFonts w:ascii="Times" w:hAnsi="Times" w:cs="AdvPTimes"/>
        </w:rPr>
        <w:t xml:space="preserve"> emissions continue to equilibrate with ocean surface water, these habitats that already experience low pH could see further and more sustained increases in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Pr="0052729A">
        <w:rPr>
          <w:rFonts w:ascii="Times" w:hAnsi="Times" w:cs="AdvPTimes"/>
        </w:rPr>
        <w:t xml:space="preserve">. </w:t>
      </w:r>
    </w:p>
    <w:p w14:paraId="15088724" w14:textId="13F3C259" w:rsidR="00E01B09" w:rsidRPr="0052729A" w:rsidRDefault="00C02D9B"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 xml:space="preserve">Numerous studies have examined developmental consequences of ocean acidification on marine bivalve larvae. Exposure to low-pH water early in development caused decreased mid-stage growth and survival in </w:t>
      </w:r>
      <w:r w:rsidRPr="0052729A">
        <w:rPr>
          <w:rFonts w:ascii="Times" w:hAnsi="Times" w:cs="AdvPTimes"/>
          <w:i/>
        </w:rPr>
        <w:t>C. gigas</w:t>
      </w:r>
      <w:r w:rsidRPr="0052729A">
        <w:rPr>
          <w:rFonts w:ascii="Times" w:hAnsi="Times" w:cs="AdvPTimes"/>
        </w:rPr>
        <w:t xml:space="preserve"> (Barton et al. 2012). </w:t>
      </w:r>
      <w:r w:rsidRPr="0052729A">
        <w:rPr>
          <w:rFonts w:ascii="Times" w:hAnsi="Times" w:cs="AdvPTimes"/>
          <w:i/>
        </w:rPr>
        <w:t>C. gigas’s</w:t>
      </w:r>
      <w:r w:rsidRPr="0052729A">
        <w:rPr>
          <w:rFonts w:ascii="Times" w:hAnsi="Times" w:cs="AdvPTimes"/>
        </w:rPr>
        <w:t xml:space="preserve"> congener, </w:t>
      </w:r>
      <w:r w:rsidRPr="0052729A">
        <w:rPr>
          <w:rFonts w:ascii="Times" w:hAnsi="Times" w:cs="AdvPTimes"/>
          <w:i/>
        </w:rPr>
        <w:t>Crassostrea</w:t>
      </w:r>
      <w:r w:rsidR="00E01B09" w:rsidRPr="0052729A">
        <w:rPr>
          <w:rFonts w:ascii="Times" w:hAnsi="Times" w:cs="AdvPTimes"/>
          <w:i/>
        </w:rPr>
        <w:t xml:space="preserve"> </w:t>
      </w:r>
      <w:r w:rsidRPr="0052729A">
        <w:rPr>
          <w:rFonts w:ascii="Times" w:hAnsi="Times" w:cs="AdvPTimes"/>
          <w:i/>
        </w:rPr>
        <w:t>virginica</w:t>
      </w:r>
      <w:r w:rsidRPr="0052729A">
        <w:rPr>
          <w:rFonts w:ascii="Times" w:hAnsi="Times" w:cs="AdvPTimes"/>
        </w:rPr>
        <w:t>, grew more slowly and incorporated less CaCO</w:t>
      </w:r>
      <w:r w:rsidRPr="0052729A">
        <w:rPr>
          <w:rFonts w:ascii="Times" w:hAnsi="Times" w:cs="AdvPTimes"/>
          <w:vertAlign w:val="subscript"/>
        </w:rPr>
        <w:t>3</w:t>
      </w:r>
      <w:r w:rsidR="00E01B09" w:rsidRPr="0052729A">
        <w:rPr>
          <w:rFonts w:ascii="Times" w:hAnsi="Times" w:cs="AdvPTimes"/>
        </w:rPr>
        <w:t xml:space="preserve"> </w:t>
      </w:r>
      <w:r w:rsidRPr="0052729A">
        <w:rPr>
          <w:rFonts w:ascii="Times" w:hAnsi="Times" w:cs="AdvPTimes"/>
        </w:rPr>
        <w:t xml:space="preserve">into their shells at elevated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Pr="0052729A">
        <w:rPr>
          <w:rFonts w:ascii="Times" w:hAnsi="Times" w:cs="AdvPTimes"/>
        </w:rPr>
        <w:t xml:space="preserve"> when compared to controls</w:t>
      </w:r>
      <w:r w:rsidR="00E01B09" w:rsidRPr="0052729A">
        <w:rPr>
          <w:rFonts w:ascii="Times" w:hAnsi="Times" w:cs="AdvPTimes"/>
        </w:rPr>
        <w:t xml:space="preserve"> </w:t>
      </w:r>
      <w:r w:rsidRPr="0052729A">
        <w:rPr>
          <w:rFonts w:ascii="Times" w:hAnsi="Times" w:cs="AdvPTimes"/>
        </w:rPr>
        <w:t>(Miller et al. 2009). Similarly, ocean acidification</w:t>
      </w:r>
      <w:r w:rsidR="00E01B09" w:rsidRPr="0052729A">
        <w:rPr>
          <w:rFonts w:ascii="Times" w:hAnsi="Times" w:cs="AdvPTimes"/>
        </w:rPr>
        <w:t xml:space="preserve"> </w:t>
      </w:r>
      <w:r w:rsidRPr="0052729A">
        <w:rPr>
          <w:rFonts w:ascii="Times" w:hAnsi="Times" w:cs="AdvPTimes"/>
        </w:rPr>
        <w:t>conditions decreased both shell integrity and tissue mass in</w:t>
      </w:r>
      <w:r w:rsidR="00E01B09" w:rsidRPr="0052729A">
        <w:rPr>
          <w:rFonts w:ascii="Times" w:hAnsi="Times" w:cs="AdvPTimes"/>
        </w:rPr>
        <w:t xml:space="preserve"> </w:t>
      </w:r>
      <w:r w:rsidRPr="0052729A">
        <w:rPr>
          <w:rFonts w:ascii="Times" w:hAnsi="Times" w:cs="AdvPTimes"/>
        </w:rPr>
        <w:t xml:space="preserve">larval mussels, </w:t>
      </w:r>
      <w:r w:rsidRPr="0052729A">
        <w:rPr>
          <w:rFonts w:ascii="Times" w:hAnsi="Times" w:cs="AdvPTimes"/>
          <w:i/>
        </w:rPr>
        <w:t>Mytilus californianus</w:t>
      </w:r>
      <w:r w:rsidRPr="0052729A">
        <w:rPr>
          <w:rFonts w:ascii="Times" w:hAnsi="Times" w:cs="AdvPTimes"/>
        </w:rPr>
        <w:t xml:space="preserve"> (Gaylord et al. 2011).</w:t>
      </w:r>
      <w:r w:rsidR="00E01B09" w:rsidRPr="0052729A">
        <w:rPr>
          <w:rFonts w:ascii="Times" w:hAnsi="Times" w:cs="AdvPTimes"/>
        </w:rPr>
        <w:t xml:space="preserve">  </w:t>
      </w:r>
      <w:r w:rsidRPr="0052729A">
        <w:rPr>
          <w:rFonts w:ascii="Times" w:hAnsi="Times" w:cs="AdvPTimes"/>
        </w:rPr>
        <w:t>Larval Sydney rock oysters (</w:t>
      </w:r>
      <w:r w:rsidRPr="0052729A">
        <w:rPr>
          <w:rFonts w:ascii="Times" w:hAnsi="Times" w:cs="AdvPTimes"/>
          <w:i/>
        </w:rPr>
        <w:t>Saccostrea glomerata</w:t>
      </w:r>
      <w:r w:rsidRPr="0052729A">
        <w:rPr>
          <w:rFonts w:ascii="Times" w:hAnsi="Times" w:cs="AdvPTimes"/>
        </w:rPr>
        <w:t>) demonstrated</w:t>
      </w:r>
      <w:r w:rsidR="00E01B09" w:rsidRPr="0052729A">
        <w:rPr>
          <w:rFonts w:ascii="Times" w:hAnsi="Times" w:cs="AdvPTimes"/>
        </w:rPr>
        <w:t xml:space="preserve"> </w:t>
      </w:r>
      <w:r w:rsidRPr="0052729A">
        <w:rPr>
          <w:rFonts w:ascii="Times" w:hAnsi="Times" w:cs="AdvPTimes"/>
        </w:rPr>
        <w:t>reduced survival and slower growth and development</w:t>
      </w:r>
      <w:r w:rsidR="00E01B09" w:rsidRPr="0052729A">
        <w:rPr>
          <w:rFonts w:ascii="Times" w:hAnsi="Times" w:cs="AdvPTimes"/>
        </w:rPr>
        <w:t xml:space="preserve"> </w:t>
      </w:r>
      <w:r w:rsidRPr="0052729A">
        <w:rPr>
          <w:rFonts w:ascii="Times" w:hAnsi="Times" w:cs="AdvPTimes"/>
        </w:rPr>
        <w:t>when reared under conditions simulating future</w:t>
      </w:r>
      <w:r w:rsidR="00E01B09" w:rsidRPr="0052729A">
        <w:rPr>
          <w:rFonts w:ascii="Times" w:hAnsi="Times" w:cs="AdvPTimes"/>
        </w:rPr>
        <w:t xml:space="preserve"> </w:t>
      </w:r>
      <w:r w:rsidRPr="0052729A">
        <w:rPr>
          <w:rFonts w:ascii="Times" w:hAnsi="Times" w:cs="AdvPTimes"/>
        </w:rPr>
        <w:t xml:space="preserve">oceanic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Pr="0052729A">
        <w:rPr>
          <w:rFonts w:ascii="Times" w:hAnsi="Times" w:cs="AdvPTimes"/>
        </w:rPr>
        <w:t xml:space="preserve"> (Watson et al. 2009). Both clam (</w:t>
      </w:r>
      <w:r w:rsidRPr="0052729A">
        <w:rPr>
          <w:rFonts w:ascii="Times" w:hAnsi="Times" w:cs="AdvPTimes"/>
          <w:i/>
        </w:rPr>
        <w:t>Mercenaria</w:t>
      </w:r>
      <w:r w:rsidR="00E01B09" w:rsidRPr="0052729A">
        <w:rPr>
          <w:rFonts w:ascii="Times" w:hAnsi="Times" w:cs="AdvPTimes"/>
          <w:i/>
        </w:rPr>
        <w:t xml:space="preserve"> </w:t>
      </w:r>
      <w:r w:rsidRPr="0052729A">
        <w:rPr>
          <w:rFonts w:ascii="Times" w:hAnsi="Times" w:cs="AdvPTimes"/>
          <w:i/>
        </w:rPr>
        <w:t>mercenaria</w:t>
      </w:r>
      <w:r w:rsidRPr="0052729A">
        <w:rPr>
          <w:rFonts w:ascii="Times" w:hAnsi="Times" w:cs="AdvPTimes"/>
        </w:rPr>
        <w:t>) and scallop larvae (</w:t>
      </w:r>
      <w:r w:rsidRPr="0052729A">
        <w:rPr>
          <w:rFonts w:ascii="Times" w:hAnsi="Times" w:cs="AdvPTimes"/>
          <w:i/>
        </w:rPr>
        <w:t>Argopectens irrandians</w:t>
      </w:r>
      <w:r w:rsidRPr="0052729A">
        <w:rPr>
          <w:rFonts w:ascii="Times" w:hAnsi="Times" w:cs="AdvPTimes"/>
        </w:rPr>
        <w:t>)</w:t>
      </w:r>
      <w:r w:rsidR="00E01B09" w:rsidRPr="0052729A">
        <w:rPr>
          <w:rFonts w:ascii="Times" w:hAnsi="Times" w:cs="AdvPTimes"/>
        </w:rPr>
        <w:t xml:space="preserve"> </w:t>
      </w:r>
      <w:r w:rsidRPr="0052729A">
        <w:rPr>
          <w:rFonts w:ascii="Times" w:hAnsi="Times" w:cs="AdvPTimes"/>
        </w:rPr>
        <w:t xml:space="preserve">were impacted by elevated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Pr="0052729A">
        <w:rPr>
          <w:rFonts w:ascii="Times" w:hAnsi="Times" w:cs="AdvPTimes"/>
        </w:rPr>
        <w:t xml:space="preserve"> in their metamorphosis,</w:t>
      </w:r>
      <w:r w:rsidR="00E01B09" w:rsidRPr="0052729A">
        <w:rPr>
          <w:rFonts w:ascii="Times" w:hAnsi="Times" w:cs="AdvPTimes"/>
        </w:rPr>
        <w:t xml:space="preserve"> </w:t>
      </w:r>
      <w:r w:rsidRPr="0052729A">
        <w:rPr>
          <w:rFonts w:ascii="Times" w:hAnsi="Times" w:cs="AdvPTimes"/>
        </w:rPr>
        <w:t>growth, and lipid synthesis (Talmage and Gobler 2011).</w:t>
      </w:r>
      <w:r w:rsidR="00E01B09" w:rsidRPr="0052729A">
        <w:rPr>
          <w:rFonts w:ascii="Times" w:hAnsi="Times" w:cs="AdvPTimes"/>
        </w:rPr>
        <w:t xml:space="preserve">  </w:t>
      </w:r>
      <w:r w:rsidRPr="0052729A">
        <w:rPr>
          <w:rFonts w:ascii="Times" w:hAnsi="Times" w:cs="AdvPTimes"/>
        </w:rPr>
        <w:t>The effects of ocean acidification have been studied on</w:t>
      </w:r>
      <w:r w:rsidR="00E01B09" w:rsidRPr="0052729A">
        <w:rPr>
          <w:rFonts w:ascii="Times" w:hAnsi="Times" w:cs="AdvPTimes"/>
        </w:rPr>
        <w:t xml:space="preserve"> </w:t>
      </w:r>
      <w:r w:rsidRPr="0052729A">
        <w:rPr>
          <w:rFonts w:ascii="Times" w:hAnsi="Times" w:cs="AdvPTimes"/>
        </w:rPr>
        <w:t xml:space="preserve">populations of </w:t>
      </w:r>
      <w:r w:rsidRPr="0052729A">
        <w:rPr>
          <w:rFonts w:ascii="Times" w:hAnsi="Times" w:cs="AdvPTimes"/>
          <w:i/>
        </w:rPr>
        <w:t>C. gigas</w:t>
      </w:r>
      <w:r w:rsidRPr="0052729A">
        <w:rPr>
          <w:rFonts w:ascii="Times" w:hAnsi="Times" w:cs="AdvPTimes"/>
        </w:rPr>
        <w:t xml:space="preserve"> from Japan (Kurihara et al. 2007),</w:t>
      </w:r>
      <w:r w:rsidR="00353A53" w:rsidRPr="0052729A">
        <w:rPr>
          <w:rFonts w:ascii="Times" w:hAnsi="Times" w:cs="AdvPTimes"/>
        </w:rPr>
        <w:t xml:space="preserve"> </w:t>
      </w:r>
      <w:r w:rsidRPr="0052729A">
        <w:rPr>
          <w:rFonts w:ascii="Times" w:hAnsi="Times" w:cs="AdvPTimes"/>
        </w:rPr>
        <w:t>Australia (Parker et al. 2010, 2012</w:t>
      </w:r>
      <w:r w:rsidR="00E01B09" w:rsidRPr="0052729A">
        <w:rPr>
          <w:rFonts w:ascii="Times" w:hAnsi="Times" w:cs="AdvPTimes"/>
        </w:rPr>
        <w:t xml:space="preserve">), and Europe (Gazeau </w:t>
      </w:r>
      <w:r w:rsidRPr="0052729A">
        <w:rPr>
          <w:rFonts w:ascii="Times" w:hAnsi="Times" w:cs="AdvPTimes"/>
        </w:rPr>
        <w:t>et al. 2011), but few studies to date look at these effects on</w:t>
      </w:r>
      <w:r w:rsidR="00E01B09" w:rsidRPr="0052729A">
        <w:rPr>
          <w:rFonts w:ascii="Times" w:hAnsi="Times" w:cs="AdvPTimes"/>
        </w:rPr>
        <w:t xml:space="preserve"> </w:t>
      </w:r>
      <w:r w:rsidRPr="0052729A">
        <w:rPr>
          <w:rFonts w:ascii="Times" w:hAnsi="Times" w:cs="AdvPTimes"/>
        </w:rPr>
        <w:t xml:space="preserve">populations of </w:t>
      </w:r>
      <w:r w:rsidRPr="0052729A">
        <w:rPr>
          <w:rFonts w:ascii="Times" w:hAnsi="Times" w:cs="AdvPTimes"/>
          <w:i/>
        </w:rPr>
        <w:t>C. gigas</w:t>
      </w:r>
      <w:r w:rsidRPr="0052729A">
        <w:rPr>
          <w:rFonts w:ascii="Times" w:hAnsi="Times" w:cs="AdvPTimes"/>
        </w:rPr>
        <w:t xml:space="preserve"> from the United States. Due to</w:t>
      </w:r>
      <w:r w:rsidR="00E01B09" w:rsidRPr="0052729A">
        <w:rPr>
          <w:rFonts w:ascii="Times" w:hAnsi="Times" w:cs="AdvPTimes"/>
        </w:rPr>
        <w:t xml:space="preserve"> </w:t>
      </w:r>
      <w:r w:rsidRPr="0052729A">
        <w:rPr>
          <w:rFonts w:ascii="Times" w:hAnsi="Times" w:cs="AdvPTimes"/>
        </w:rPr>
        <w:t>differences in experimental design, it is difficult to directly</w:t>
      </w:r>
      <w:r w:rsidR="00E01B09" w:rsidRPr="0052729A">
        <w:rPr>
          <w:rFonts w:ascii="Times" w:hAnsi="Times" w:cs="AdvPTimes"/>
        </w:rPr>
        <w:t xml:space="preserve"> </w:t>
      </w:r>
      <w:r w:rsidRPr="0052729A">
        <w:rPr>
          <w:rFonts w:ascii="Times" w:hAnsi="Times" w:cs="AdvPTimes"/>
        </w:rPr>
        <w:t>compare the three aforementioned studies, but overall</w:t>
      </w:r>
      <w:r w:rsidR="00E01B09" w:rsidRPr="0052729A">
        <w:rPr>
          <w:rFonts w:ascii="Times" w:hAnsi="Times" w:cs="AdvPTimes"/>
        </w:rPr>
        <w:t xml:space="preserve"> </w:t>
      </w:r>
      <w:r w:rsidRPr="0052729A">
        <w:rPr>
          <w:rFonts w:ascii="Times" w:hAnsi="Times" w:cs="AdvPTimes"/>
          <w:i/>
        </w:rPr>
        <w:t>C. gigas</w:t>
      </w:r>
      <w:r w:rsidRPr="0052729A">
        <w:rPr>
          <w:rFonts w:ascii="Times" w:hAnsi="Times" w:cs="AdvPTimes"/>
        </w:rPr>
        <w:t xml:space="preserve"> larvae are smaller when raised at elevated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00E01B09" w:rsidRPr="0052729A">
        <w:rPr>
          <w:rFonts w:ascii="Times" w:hAnsi="Times" w:cs="AdvPTimes"/>
        </w:rPr>
        <w:t xml:space="preserve"> </w:t>
      </w:r>
      <w:r w:rsidRPr="0052729A">
        <w:rPr>
          <w:rFonts w:ascii="Times" w:hAnsi="Times" w:cs="AdvPTimes"/>
        </w:rPr>
        <w:t>(Kurihara et al. 2007; Parker et al. 2010; Gazeau et al. 2011),</w:t>
      </w:r>
      <w:r w:rsidR="00E01B09" w:rsidRPr="0052729A">
        <w:rPr>
          <w:rFonts w:ascii="Times" w:hAnsi="Times" w:cs="AdvPTimes"/>
        </w:rPr>
        <w:t xml:space="preserve"> </w:t>
      </w:r>
      <w:r w:rsidRPr="0052729A">
        <w:rPr>
          <w:rFonts w:ascii="Times" w:hAnsi="Times" w:cs="AdvPTimes"/>
        </w:rPr>
        <w:t>demonstrate a developmental delay (Kurihara et al. 2007),</w:t>
      </w:r>
      <w:r w:rsidR="00E01B09" w:rsidRPr="0052729A">
        <w:rPr>
          <w:rFonts w:ascii="Times" w:hAnsi="Times" w:cs="AdvPTimes"/>
        </w:rPr>
        <w:t xml:space="preserve"> </w:t>
      </w:r>
      <w:r w:rsidRPr="0052729A">
        <w:rPr>
          <w:rFonts w:ascii="Times" w:hAnsi="Times" w:cs="AdvPTimes"/>
        </w:rPr>
        <w:t>and have morphological and shell deformities (Kurihara et al.</w:t>
      </w:r>
      <w:r w:rsidR="00E01B09" w:rsidRPr="0052729A">
        <w:rPr>
          <w:rFonts w:ascii="Times" w:hAnsi="Times" w:cs="AdvPTimes"/>
        </w:rPr>
        <w:t xml:space="preserve"> </w:t>
      </w:r>
      <w:r w:rsidRPr="0052729A">
        <w:rPr>
          <w:rFonts w:ascii="Times" w:hAnsi="Times" w:cs="AdvPTimes"/>
        </w:rPr>
        <w:t>2007; Parker et al. 2010; Gazeau et al. 2011).</w:t>
      </w:r>
      <w:r w:rsidR="00E01B09" w:rsidRPr="0052729A">
        <w:rPr>
          <w:rFonts w:ascii="Times" w:hAnsi="Times" w:cs="AdvPTimes"/>
        </w:rPr>
        <w:t xml:space="preserve">  </w:t>
      </w:r>
    </w:p>
    <w:p w14:paraId="03352C1A" w14:textId="01573566" w:rsidR="00E01B09" w:rsidRPr="0052729A" w:rsidRDefault="00C02D9B"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Pacific oyster larvae are planktotrophs, spending an</w:t>
      </w:r>
      <w:r w:rsidR="00E01B09" w:rsidRPr="0052729A">
        <w:rPr>
          <w:rFonts w:ascii="Times" w:hAnsi="Times" w:cs="AdvPTimes"/>
        </w:rPr>
        <w:t xml:space="preserve"> </w:t>
      </w:r>
      <w:r w:rsidRPr="0052729A">
        <w:rPr>
          <w:rFonts w:ascii="Times" w:hAnsi="Times" w:cs="AdvPTimes"/>
        </w:rPr>
        <w:t xml:space="preserve">extended period of </w:t>
      </w:r>
      <w:r w:rsidR="007128BB" w:rsidRPr="0052729A">
        <w:rPr>
          <w:rFonts w:ascii="Times" w:hAnsi="Times" w:cs="AdvPTimes"/>
        </w:rPr>
        <w:t>a few</w:t>
      </w:r>
      <w:r w:rsidRPr="0052729A">
        <w:rPr>
          <w:rFonts w:ascii="Times" w:hAnsi="Times" w:cs="AdvPTimes"/>
        </w:rPr>
        <w:t xml:space="preserve"> weeks in the plankton, where</w:t>
      </w:r>
      <w:r w:rsidR="00E01B09" w:rsidRPr="0052729A">
        <w:rPr>
          <w:rFonts w:ascii="Times" w:hAnsi="Times" w:cs="AdvPTimes"/>
        </w:rPr>
        <w:t xml:space="preserve"> </w:t>
      </w:r>
      <w:r w:rsidRPr="0052729A">
        <w:rPr>
          <w:rFonts w:ascii="Times" w:hAnsi="Times" w:cs="AdvPTimes"/>
        </w:rPr>
        <w:t>they undergo a variety of important morphological and</w:t>
      </w:r>
      <w:r w:rsidR="00E01B09" w:rsidRPr="0052729A">
        <w:rPr>
          <w:rFonts w:ascii="Times" w:hAnsi="Times" w:cs="AdvPTimes"/>
        </w:rPr>
        <w:t xml:space="preserve"> </w:t>
      </w:r>
      <w:r w:rsidRPr="0052729A">
        <w:rPr>
          <w:rFonts w:ascii="Times" w:hAnsi="Times" w:cs="AdvPTimes"/>
        </w:rPr>
        <w:t xml:space="preserve">physiological changes. </w:t>
      </w:r>
      <w:r w:rsidR="007128BB" w:rsidRPr="0052729A">
        <w:rPr>
          <w:rFonts w:ascii="Times" w:hAnsi="Times" w:cs="AdvPTimes"/>
        </w:rPr>
        <w:t>Larval metamorphosis and settlement</w:t>
      </w:r>
      <w:r w:rsidRPr="0052729A">
        <w:rPr>
          <w:rFonts w:ascii="Times" w:hAnsi="Times" w:cs="AdvPTimes"/>
        </w:rPr>
        <w:t xml:space="preserve"> are frequently associated with </w:t>
      </w:r>
      <w:r w:rsidR="007128BB" w:rsidRPr="0052729A">
        <w:rPr>
          <w:rFonts w:ascii="Times" w:hAnsi="Times" w:cs="AdvPTimes"/>
        </w:rPr>
        <w:t xml:space="preserve">external </w:t>
      </w:r>
      <w:r w:rsidRPr="0052729A">
        <w:rPr>
          <w:rFonts w:ascii="Times" w:hAnsi="Times" w:cs="AdvPTimes"/>
        </w:rPr>
        <w:t>environmental</w:t>
      </w:r>
      <w:r w:rsidR="00E01B09" w:rsidRPr="0052729A">
        <w:rPr>
          <w:rFonts w:ascii="Times" w:hAnsi="Times" w:cs="AdvPTimes"/>
        </w:rPr>
        <w:t xml:space="preserve"> </w:t>
      </w:r>
      <w:r w:rsidRPr="0052729A">
        <w:rPr>
          <w:rFonts w:ascii="Times" w:hAnsi="Times" w:cs="AdvPTimes"/>
        </w:rPr>
        <w:t>cues</w:t>
      </w:r>
      <w:r w:rsidR="007128BB" w:rsidRPr="0052729A">
        <w:rPr>
          <w:rFonts w:ascii="Times" w:hAnsi="Times" w:cs="AdvPTimes"/>
        </w:rPr>
        <w:t xml:space="preserve"> (such as presence of suitable substrate) and with physiological cues triggered by neurotransmitters</w:t>
      </w:r>
      <w:r w:rsidRPr="0052729A">
        <w:rPr>
          <w:rFonts w:ascii="Times" w:hAnsi="Times" w:cs="AdvPTimes"/>
        </w:rPr>
        <w:t xml:space="preserve"> (Bonar et al. 1990), and their successful</w:t>
      </w:r>
      <w:r w:rsidR="00E01B09" w:rsidRPr="0052729A">
        <w:rPr>
          <w:rFonts w:ascii="Times" w:hAnsi="Times" w:cs="AdvPTimes"/>
        </w:rPr>
        <w:t xml:space="preserve"> </w:t>
      </w:r>
      <w:r w:rsidRPr="0052729A">
        <w:rPr>
          <w:rFonts w:ascii="Times" w:hAnsi="Times" w:cs="AdvPTimes"/>
        </w:rPr>
        <w:t>completion is necessary for larval metamorphosis into a</w:t>
      </w:r>
      <w:r w:rsidR="00E01B09" w:rsidRPr="0052729A">
        <w:rPr>
          <w:rFonts w:ascii="Times" w:hAnsi="Times" w:cs="AdvPTimes"/>
        </w:rPr>
        <w:t xml:space="preserve"> </w:t>
      </w:r>
      <w:r w:rsidRPr="0052729A">
        <w:rPr>
          <w:rFonts w:ascii="Times" w:hAnsi="Times" w:cs="AdvPTimes"/>
        </w:rPr>
        <w:t>settled juvenile oyster. Organismal responses to ocean</w:t>
      </w:r>
      <w:r w:rsidR="00E01B09" w:rsidRPr="0052729A">
        <w:rPr>
          <w:rFonts w:ascii="Times" w:hAnsi="Times" w:cs="AdvPTimes"/>
        </w:rPr>
        <w:t xml:space="preserve"> </w:t>
      </w:r>
      <w:r w:rsidRPr="0052729A">
        <w:rPr>
          <w:rFonts w:ascii="Times" w:hAnsi="Times" w:cs="AdvPTimes"/>
        </w:rPr>
        <w:t>acidification vary among and within taxa suggesting that</w:t>
      </w:r>
      <w:r w:rsidR="00E01B09" w:rsidRPr="0052729A">
        <w:rPr>
          <w:rFonts w:ascii="Times" w:hAnsi="Times" w:cs="AdvPTimes"/>
        </w:rPr>
        <w:t xml:space="preserve"> </w:t>
      </w:r>
      <w:r w:rsidRPr="0052729A">
        <w:rPr>
          <w:rFonts w:ascii="Times" w:hAnsi="Times" w:cs="AdvPTimes"/>
        </w:rPr>
        <w:t>ecological and evolutionary history may influence responses</w:t>
      </w:r>
      <w:r w:rsidR="00E01B09" w:rsidRPr="0052729A">
        <w:rPr>
          <w:rFonts w:ascii="Times" w:hAnsi="Times" w:cs="AdvPTimes"/>
        </w:rPr>
        <w:t xml:space="preserve"> </w:t>
      </w:r>
      <w:r w:rsidRPr="0052729A">
        <w:rPr>
          <w:rFonts w:ascii="Times" w:hAnsi="Times" w:cs="AdvPTimes"/>
        </w:rPr>
        <w:t>to ocean acidification. Thus, empirical studies are needed to</w:t>
      </w:r>
      <w:r w:rsidR="00E01B09" w:rsidRPr="0052729A">
        <w:rPr>
          <w:rFonts w:ascii="Times" w:hAnsi="Times" w:cs="AdvPTimes"/>
        </w:rPr>
        <w:t xml:space="preserve"> </w:t>
      </w:r>
      <w:r w:rsidRPr="0052729A">
        <w:rPr>
          <w:rFonts w:ascii="Times" w:hAnsi="Times" w:cs="AdvPTimes"/>
        </w:rPr>
        <w:t>understand the mechanistic responses of species to a specific</w:t>
      </w:r>
      <w:r w:rsidR="00E01B09" w:rsidRPr="0052729A">
        <w:rPr>
          <w:rFonts w:ascii="Times" w:hAnsi="Times" w:cs="AdvPTimes"/>
        </w:rPr>
        <w:t xml:space="preserve"> </w:t>
      </w:r>
      <w:r w:rsidRPr="0052729A">
        <w:rPr>
          <w:rFonts w:ascii="Times" w:hAnsi="Times" w:cs="AdvPTimes"/>
        </w:rPr>
        <w:t>environmental stress and how the stress corresponds to the</w:t>
      </w:r>
      <w:r w:rsidR="00E01B09" w:rsidRPr="0052729A">
        <w:rPr>
          <w:rFonts w:ascii="Times" w:hAnsi="Times" w:cs="AdvPTimes"/>
        </w:rPr>
        <w:t xml:space="preserve"> </w:t>
      </w:r>
      <w:r w:rsidRPr="0052729A">
        <w:rPr>
          <w:rFonts w:ascii="Times" w:hAnsi="Times" w:cs="AdvPTimes"/>
        </w:rPr>
        <w:t>species’ or population’s original ecological niche.</w:t>
      </w:r>
      <w:r w:rsidR="00E01B09" w:rsidRPr="0052729A">
        <w:rPr>
          <w:rFonts w:ascii="Times" w:hAnsi="Times" w:cs="AdvPTimes"/>
        </w:rPr>
        <w:t xml:space="preserve">  </w:t>
      </w:r>
    </w:p>
    <w:p w14:paraId="29E98184" w14:textId="4DF338EE" w:rsidR="00E01B09" w:rsidRPr="0052729A" w:rsidRDefault="00C02D9B"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One of the primary means by which marine organisms are</w:t>
      </w:r>
      <w:r w:rsidR="00E01B09" w:rsidRPr="0052729A">
        <w:rPr>
          <w:rFonts w:ascii="Times" w:hAnsi="Times" w:cs="AdvPTimes"/>
        </w:rPr>
        <w:t xml:space="preserve"> </w:t>
      </w:r>
      <w:r w:rsidRPr="0052729A">
        <w:rPr>
          <w:rFonts w:ascii="Times" w:hAnsi="Times" w:cs="AdvPTimes"/>
        </w:rPr>
        <w:t>directly influenced by ocean acidification is through relative</w:t>
      </w:r>
      <w:r w:rsidR="00E01B09" w:rsidRPr="0052729A">
        <w:rPr>
          <w:rFonts w:ascii="Times" w:hAnsi="Times" w:cs="AdvPTimes"/>
        </w:rPr>
        <w:t xml:space="preserve"> </w:t>
      </w:r>
      <w:r w:rsidR="00353A53" w:rsidRPr="0052729A">
        <w:rPr>
          <w:rFonts w:ascii="Times" w:hAnsi="Times" w:cs="AdvPTimes"/>
        </w:rPr>
        <w:t>concentrations of H</w:t>
      </w:r>
      <w:r w:rsidR="00353A53" w:rsidRPr="0052729A">
        <w:rPr>
          <w:rFonts w:ascii="Times" w:hAnsi="Times" w:cs="AdvPTimes"/>
          <w:vertAlign w:val="superscript"/>
        </w:rPr>
        <w:t>+</w:t>
      </w:r>
      <w:r w:rsidRPr="0052729A">
        <w:rPr>
          <w:rFonts w:ascii="Times" w:hAnsi="Times" w:cs="AdvPTimes"/>
        </w:rPr>
        <w:t xml:space="preserve"> and associated decreased availability</w:t>
      </w:r>
      <w:r w:rsidR="00E01B09" w:rsidRPr="0052729A">
        <w:rPr>
          <w:rFonts w:ascii="Times" w:hAnsi="Times" w:cs="AdvPTimes"/>
        </w:rPr>
        <w:t xml:space="preserve"> </w:t>
      </w:r>
      <w:r w:rsidRPr="0052729A">
        <w:rPr>
          <w:rFonts w:ascii="Times" w:hAnsi="Times" w:cs="AdvPTimes"/>
        </w:rPr>
        <w:t>of CO</w:t>
      </w:r>
      <w:r w:rsidRPr="0052729A">
        <w:rPr>
          <w:rFonts w:ascii="Times" w:hAnsi="Times" w:cs="AdvPTimes"/>
          <w:vertAlign w:val="subscript"/>
        </w:rPr>
        <w:t>3</w:t>
      </w:r>
      <w:r w:rsidRPr="0052729A">
        <w:rPr>
          <w:rFonts w:ascii="Times" w:hAnsi="Times" w:cs="AdvPTimes"/>
        </w:rPr>
        <w:t xml:space="preserve"> </w:t>
      </w:r>
      <w:r w:rsidRPr="0052729A">
        <w:rPr>
          <w:rFonts w:ascii="Times" w:hAnsi="Times" w:cs="AdvPTimes"/>
          <w:vertAlign w:val="superscript"/>
        </w:rPr>
        <w:t>2-</w:t>
      </w:r>
      <w:r w:rsidRPr="0052729A">
        <w:rPr>
          <w:rFonts w:ascii="Times" w:hAnsi="Times" w:cs="AdvPTimes"/>
        </w:rPr>
        <w:t>. These changes in water chemistry impact calcifying</w:t>
      </w:r>
      <w:r w:rsidR="00E01B09" w:rsidRPr="0052729A">
        <w:rPr>
          <w:rFonts w:ascii="Times" w:hAnsi="Times" w:cs="AdvPTimes"/>
        </w:rPr>
        <w:t xml:space="preserve"> </w:t>
      </w:r>
      <w:r w:rsidRPr="0052729A">
        <w:rPr>
          <w:rFonts w:ascii="Times" w:hAnsi="Times" w:cs="AdvPTimes"/>
        </w:rPr>
        <w:t>organisms as they rely on CO</w:t>
      </w:r>
      <w:r w:rsidR="00E01B09" w:rsidRPr="0052729A">
        <w:rPr>
          <w:rFonts w:ascii="Times" w:hAnsi="Times" w:cs="AdvPTimes"/>
          <w:vertAlign w:val="subscript"/>
        </w:rPr>
        <w:t>3</w:t>
      </w:r>
      <w:r w:rsidRPr="0052729A">
        <w:rPr>
          <w:rFonts w:ascii="Times" w:hAnsi="Times" w:cs="AdvPTimes"/>
          <w:vertAlign w:val="superscript"/>
        </w:rPr>
        <w:t>2-</w:t>
      </w:r>
      <w:r w:rsidRPr="0052729A">
        <w:rPr>
          <w:rFonts w:ascii="Times" w:hAnsi="Times" w:cs="AdvPTimes"/>
        </w:rPr>
        <w:t xml:space="preserve"> to form and maintain</w:t>
      </w:r>
      <w:r w:rsidR="00E01B09" w:rsidRPr="0052729A">
        <w:rPr>
          <w:rFonts w:ascii="Times" w:hAnsi="Times" w:cs="AdvPTimes"/>
        </w:rPr>
        <w:t xml:space="preserve"> </w:t>
      </w:r>
      <w:r w:rsidRPr="0052729A">
        <w:rPr>
          <w:rFonts w:ascii="Times" w:hAnsi="Times" w:cs="AdvPTimes"/>
        </w:rPr>
        <w:t>carbonate-based structures (Beniash et al. 2010; Thomsen</w:t>
      </w:r>
      <w:r w:rsidR="00E01B09" w:rsidRPr="0052729A">
        <w:rPr>
          <w:rFonts w:ascii="Times" w:hAnsi="Times" w:cs="AdvPTimes"/>
        </w:rPr>
        <w:t xml:space="preserve"> </w:t>
      </w:r>
      <w:r w:rsidRPr="0052729A">
        <w:rPr>
          <w:rFonts w:ascii="Times" w:hAnsi="Times" w:cs="AdvPTimes"/>
        </w:rPr>
        <w:t>and Melzner 2010</w:t>
      </w:r>
      <w:r w:rsidR="00353A53" w:rsidRPr="0052729A">
        <w:rPr>
          <w:rFonts w:ascii="Times" w:hAnsi="Times" w:cs="AdvPTimes"/>
        </w:rPr>
        <w:t>), while greater H</w:t>
      </w:r>
      <w:r w:rsidR="00353A53" w:rsidRPr="0052729A">
        <w:rPr>
          <w:rFonts w:ascii="Times" w:hAnsi="Times" w:cs="AdvPTimes"/>
          <w:vertAlign w:val="superscript"/>
        </w:rPr>
        <w:t>+</w:t>
      </w:r>
      <w:r w:rsidRPr="0052729A">
        <w:rPr>
          <w:rFonts w:ascii="Times" w:hAnsi="Times" w:cs="AdvPTimes"/>
        </w:rPr>
        <w:t xml:space="preserve"> concentration can</w:t>
      </w:r>
      <w:r w:rsidR="00E01B09" w:rsidRPr="0052729A">
        <w:rPr>
          <w:rFonts w:ascii="Times" w:hAnsi="Times" w:cs="AdvPTimes"/>
        </w:rPr>
        <w:t xml:space="preserve"> </w:t>
      </w:r>
      <w:r w:rsidRPr="0052729A">
        <w:rPr>
          <w:rFonts w:ascii="Times" w:hAnsi="Times" w:cs="AdvPTimes"/>
        </w:rPr>
        <w:t>cause acidosis of body fluids. Acidosis can result in dissolution</w:t>
      </w:r>
      <w:r w:rsidR="00E01B09" w:rsidRPr="0052729A">
        <w:rPr>
          <w:rFonts w:ascii="Times" w:hAnsi="Times" w:cs="AdvPTimes"/>
        </w:rPr>
        <w:t xml:space="preserve"> </w:t>
      </w:r>
      <w:r w:rsidRPr="0052729A">
        <w:rPr>
          <w:rFonts w:ascii="Times" w:hAnsi="Times" w:cs="AdvPTimes"/>
        </w:rPr>
        <w:t>of calcium carbonate structures, reducing shell</w:t>
      </w:r>
      <w:r w:rsidR="00E01B09" w:rsidRPr="0052729A">
        <w:rPr>
          <w:rFonts w:ascii="Times" w:hAnsi="Times" w:cs="AdvPTimes"/>
        </w:rPr>
        <w:t xml:space="preserve"> </w:t>
      </w:r>
      <w:r w:rsidRPr="0052729A">
        <w:rPr>
          <w:rFonts w:ascii="Times" w:hAnsi="Times" w:cs="AdvPTimes"/>
        </w:rPr>
        <w:t>thickness and releasing ions into the hemolymph. Many</w:t>
      </w:r>
      <w:r w:rsidR="00E01B09" w:rsidRPr="0052729A">
        <w:rPr>
          <w:rFonts w:ascii="Times" w:hAnsi="Times" w:cs="AdvPTimes"/>
        </w:rPr>
        <w:t xml:space="preserve"> </w:t>
      </w:r>
      <w:r w:rsidRPr="0052729A">
        <w:rPr>
          <w:rFonts w:ascii="Times" w:hAnsi="Times" w:cs="AdvPTimes"/>
        </w:rPr>
        <w:t>adult aquatic invertebrates can make use of dissolved calcified</w:t>
      </w:r>
      <w:r w:rsidR="00E01B09" w:rsidRPr="0052729A">
        <w:rPr>
          <w:rFonts w:ascii="Times" w:hAnsi="Times" w:cs="AdvPTimes"/>
        </w:rPr>
        <w:t xml:space="preserve"> </w:t>
      </w:r>
      <w:r w:rsidRPr="0052729A">
        <w:rPr>
          <w:rFonts w:ascii="Times" w:hAnsi="Times" w:cs="AdvPTimes"/>
        </w:rPr>
        <w:t>structures or possibly actively dissolve their shell, to</w:t>
      </w:r>
      <w:r w:rsidR="00E01B09" w:rsidRPr="0052729A">
        <w:rPr>
          <w:rFonts w:ascii="Times" w:hAnsi="Times" w:cs="AdvPTimes"/>
        </w:rPr>
        <w:t xml:space="preserve"> </w:t>
      </w:r>
      <w:r w:rsidRPr="0052729A">
        <w:rPr>
          <w:rFonts w:ascii="Times" w:hAnsi="Times" w:cs="AdvPTimes"/>
        </w:rPr>
        <w:t>make HCO</w:t>
      </w:r>
      <w:r w:rsidR="00E01B09" w:rsidRPr="0052729A">
        <w:rPr>
          <w:rFonts w:ascii="Times" w:hAnsi="Times" w:cs="AdvPTimes"/>
          <w:vertAlign w:val="subscript"/>
        </w:rPr>
        <w:t>3</w:t>
      </w:r>
      <w:r w:rsidRPr="0052729A">
        <w:rPr>
          <w:rFonts w:ascii="Times" w:hAnsi="Times" w:cs="AdvPTimes"/>
          <w:vertAlign w:val="superscript"/>
        </w:rPr>
        <w:t>-</w:t>
      </w:r>
      <w:r w:rsidRPr="0052729A">
        <w:rPr>
          <w:rFonts w:ascii="Times" w:hAnsi="Times" w:cs="AdvPTimes"/>
        </w:rPr>
        <w:t xml:space="preserve"> more available as a buffer against internal</w:t>
      </w:r>
      <w:r w:rsidR="00E01B09" w:rsidRPr="0052729A">
        <w:rPr>
          <w:rFonts w:ascii="Times" w:hAnsi="Times" w:cs="AdvPTimes"/>
        </w:rPr>
        <w:t xml:space="preserve"> </w:t>
      </w:r>
      <w:r w:rsidRPr="0052729A">
        <w:rPr>
          <w:rFonts w:ascii="Times" w:hAnsi="Times" w:cs="AdvPTimes"/>
        </w:rPr>
        <w:t>acidosis. Excess HCO</w:t>
      </w:r>
      <w:r w:rsidRPr="0052729A">
        <w:rPr>
          <w:rFonts w:ascii="Times" w:hAnsi="Times" w:cs="AdvPTimes"/>
          <w:vertAlign w:val="subscript"/>
        </w:rPr>
        <w:t>3</w:t>
      </w:r>
      <w:r w:rsidRPr="0052729A">
        <w:rPr>
          <w:rFonts w:ascii="Times" w:hAnsi="Times" w:cs="AdvPTimes"/>
          <w:vertAlign w:val="superscript"/>
        </w:rPr>
        <w:t>-</w:t>
      </w:r>
      <w:r w:rsidR="00E01B09" w:rsidRPr="0052729A">
        <w:rPr>
          <w:rFonts w:ascii="Times" w:hAnsi="Times" w:cs="AdvPTimes"/>
        </w:rPr>
        <w:t xml:space="preserve"> </w:t>
      </w:r>
      <w:r w:rsidRPr="0052729A">
        <w:rPr>
          <w:rFonts w:ascii="Times" w:hAnsi="Times" w:cs="AdvPTimes"/>
        </w:rPr>
        <w:t>for buffering can also be acquired</w:t>
      </w:r>
      <w:r w:rsidR="00E01B09" w:rsidRPr="0052729A">
        <w:rPr>
          <w:rFonts w:ascii="Times" w:hAnsi="Times" w:cs="AdvPTimes"/>
        </w:rPr>
        <w:t xml:space="preserve"> </w:t>
      </w:r>
      <w:r w:rsidRPr="0052729A">
        <w:rPr>
          <w:rFonts w:ascii="Times" w:hAnsi="Times" w:cs="AdvPTimes"/>
        </w:rPr>
        <w:t>from the aquatic environment. This phenomenon has been</w:t>
      </w:r>
      <w:r w:rsidR="00E01B09" w:rsidRPr="0052729A">
        <w:rPr>
          <w:rFonts w:ascii="Times" w:hAnsi="Times" w:cs="AdvPTimes"/>
        </w:rPr>
        <w:t xml:space="preserve"> </w:t>
      </w:r>
      <w:r w:rsidRPr="0052729A">
        <w:rPr>
          <w:rFonts w:ascii="Times" w:hAnsi="Times" w:cs="AdvPTimes"/>
        </w:rPr>
        <w:t xml:space="preserve">observed in Dungeness crabs, </w:t>
      </w:r>
      <w:r w:rsidRPr="0052729A">
        <w:rPr>
          <w:rFonts w:ascii="Times" w:hAnsi="Times" w:cs="AdvPTimes"/>
          <w:i/>
        </w:rPr>
        <w:t>Cancer magister</w:t>
      </w:r>
      <w:r w:rsidRPr="0052729A">
        <w:rPr>
          <w:rFonts w:ascii="Times" w:hAnsi="Times" w:cs="AdvPTimes"/>
        </w:rPr>
        <w:t xml:space="preserve"> (Pane and</w:t>
      </w:r>
      <w:r w:rsidR="00E01B09" w:rsidRPr="0052729A">
        <w:rPr>
          <w:rFonts w:ascii="Times" w:hAnsi="Times" w:cs="AdvPTimes"/>
        </w:rPr>
        <w:t xml:space="preserve"> </w:t>
      </w:r>
      <w:r w:rsidRPr="0052729A">
        <w:rPr>
          <w:rFonts w:ascii="Times" w:hAnsi="Times" w:cs="AdvPTimes"/>
        </w:rPr>
        <w:t xml:space="preserve">Barry 2007); blue crabs, </w:t>
      </w:r>
      <w:r w:rsidRPr="0052729A">
        <w:rPr>
          <w:rFonts w:ascii="Times" w:hAnsi="Times" w:cs="AdvPTimes"/>
          <w:i/>
        </w:rPr>
        <w:t>Callinectes sapidus</w:t>
      </w:r>
      <w:r w:rsidRPr="0052729A">
        <w:rPr>
          <w:rFonts w:ascii="Times" w:hAnsi="Times" w:cs="AdvPTimes"/>
        </w:rPr>
        <w:t xml:space="preserve"> (Henry et al.</w:t>
      </w:r>
      <w:r w:rsidR="00E01B09" w:rsidRPr="0052729A">
        <w:rPr>
          <w:rFonts w:ascii="Times" w:hAnsi="Times" w:cs="AdvPTimes"/>
        </w:rPr>
        <w:t xml:space="preserve"> </w:t>
      </w:r>
      <w:r w:rsidRPr="0052729A">
        <w:rPr>
          <w:rFonts w:ascii="Times" w:hAnsi="Times" w:cs="AdvPTimes"/>
        </w:rPr>
        <w:t xml:space="preserve">1981); limpets, </w:t>
      </w:r>
      <w:r w:rsidRPr="0052729A">
        <w:rPr>
          <w:rFonts w:ascii="Times" w:hAnsi="Times" w:cs="AdvPTimes"/>
          <w:i/>
        </w:rPr>
        <w:t>Patella vulgata</w:t>
      </w:r>
      <w:r w:rsidRPr="0052729A">
        <w:rPr>
          <w:rFonts w:ascii="Times" w:hAnsi="Times" w:cs="AdvPTimes"/>
        </w:rPr>
        <w:t xml:space="preserve"> (Marchant et al. 2010); and</w:t>
      </w:r>
      <w:r w:rsidR="00E01B09" w:rsidRPr="0052729A">
        <w:rPr>
          <w:rFonts w:ascii="Times" w:hAnsi="Times" w:cs="AdvPTimes"/>
        </w:rPr>
        <w:t xml:space="preserve"> urchins, </w:t>
      </w:r>
      <w:r w:rsidRPr="0052729A">
        <w:rPr>
          <w:rFonts w:ascii="Times" w:hAnsi="Times" w:cs="AdvPTimes"/>
          <w:i/>
        </w:rPr>
        <w:t>Psammechinus miliaris</w:t>
      </w:r>
      <w:r w:rsidRPr="0052729A">
        <w:rPr>
          <w:rFonts w:ascii="Times" w:hAnsi="Times" w:cs="AdvPTimes"/>
        </w:rPr>
        <w:t xml:space="preserve"> (Miles et al. 2007); however,</w:t>
      </w:r>
      <w:r w:rsidR="00E01B09" w:rsidRPr="0052729A">
        <w:rPr>
          <w:rFonts w:ascii="Times" w:hAnsi="Times" w:cs="AdvPTimes"/>
        </w:rPr>
        <w:t xml:space="preserve"> </w:t>
      </w:r>
      <w:r w:rsidRPr="0052729A">
        <w:rPr>
          <w:rFonts w:ascii="Times" w:hAnsi="Times" w:cs="AdvPTimes"/>
        </w:rPr>
        <w:t>internal acidosis was not successfully avoided in oysters,</w:t>
      </w:r>
      <w:r w:rsidR="00E01B09" w:rsidRPr="0052729A">
        <w:rPr>
          <w:rFonts w:ascii="Times" w:hAnsi="Times" w:cs="AdvPTimes"/>
        </w:rPr>
        <w:t xml:space="preserve"> </w:t>
      </w:r>
      <w:r w:rsidRPr="0052729A">
        <w:rPr>
          <w:rFonts w:ascii="Times" w:hAnsi="Times" w:cs="AdvPTimes"/>
          <w:i/>
        </w:rPr>
        <w:t>C. gigas</w:t>
      </w:r>
      <w:r w:rsidRPr="0052729A">
        <w:rPr>
          <w:rFonts w:ascii="Times" w:hAnsi="Times" w:cs="AdvPTimes"/>
        </w:rPr>
        <w:t xml:space="preserve"> (Lannig et al. 2010). It is not clear to what</w:t>
      </w:r>
      <w:r w:rsidR="00E01B09" w:rsidRPr="0052729A">
        <w:rPr>
          <w:rFonts w:ascii="Times" w:hAnsi="Times" w:cs="AdvPTimes"/>
        </w:rPr>
        <w:t xml:space="preserve"> </w:t>
      </w:r>
      <w:r w:rsidRPr="0052729A">
        <w:rPr>
          <w:rFonts w:ascii="Times" w:hAnsi="Times" w:cs="AdvPTimes"/>
        </w:rPr>
        <w:t>degree larvae can utilize this mechanism to maintain</w:t>
      </w:r>
      <w:r w:rsidR="00E01B09" w:rsidRPr="0052729A">
        <w:rPr>
          <w:rFonts w:ascii="Times" w:hAnsi="Times" w:cs="AdvPTimes"/>
        </w:rPr>
        <w:t xml:space="preserve"> </w:t>
      </w:r>
      <w:r w:rsidRPr="0052729A">
        <w:rPr>
          <w:rFonts w:ascii="Times" w:hAnsi="Times" w:cs="AdvPTimes"/>
        </w:rPr>
        <w:t xml:space="preserve">homeostasis under elevated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Pr="0052729A">
        <w:rPr>
          <w:rFonts w:ascii="Times" w:hAnsi="Times" w:cs="AdvPTimes"/>
        </w:rPr>
        <w:t xml:space="preserve"> conditions, but some</w:t>
      </w:r>
      <w:r w:rsidR="00E01B09" w:rsidRPr="0052729A">
        <w:rPr>
          <w:rFonts w:ascii="Times" w:hAnsi="Times" w:cs="AdvPTimes"/>
        </w:rPr>
        <w:t xml:space="preserve"> </w:t>
      </w:r>
      <w:r w:rsidRPr="0052729A">
        <w:rPr>
          <w:rFonts w:ascii="Times" w:hAnsi="Times" w:cs="AdvPTimes"/>
        </w:rPr>
        <w:t>invertebrates that inhabit naturally CO</w:t>
      </w:r>
      <w:r w:rsidRPr="0052729A">
        <w:rPr>
          <w:rFonts w:ascii="Times" w:hAnsi="Times" w:cs="AdvPTimes"/>
          <w:vertAlign w:val="subscript"/>
        </w:rPr>
        <w:t>2</w:t>
      </w:r>
      <w:r w:rsidRPr="0052729A">
        <w:rPr>
          <w:rFonts w:ascii="Times" w:hAnsi="Times" w:cs="AdvPTimes"/>
        </w:rPr>
        <w:t>-rich environments</w:t>
      </w:r>
      <w:r w:rsidR="00E01B09" w:rsidRPr="0052729A">
        <w:rPr>
          <w:rFonts w:ascii="Times" w:hAnsi="Times" w:cs="AdvPTimes"/>
        </w:rPr>
        <w:t xml:space="preserve"> </w:t>
      </w:r>
      <w:r w:rsidRPr="0052729A">
        <w:rPr>
          <w:rFonts w:ascii="Times" w:hAnsi="Times" w:cs="AdvPTimes"/>
        </w:rPr>
        <w:t>are able to reproduce and the larvae settle without apparent</w:t>
      </w:r>
      <w:r w:rsidR="00E01B09" w:rsidRPr="0052729A">
        <w:rPr>
          <w:rFonts w:ascii="Times" w:hAnsi="Times" w:cs="AdvPTimes"/>
        </w:rPr>
        <w:t xml:space="preserve"> </w:t>
      </w:r>
      <w:r w:rsidRPr="0052729A">
        <w:rPr>
          <w:rFonts w:ascii="Times" w:hAnsi="Times" w:cs="AdvPTimes"/>
        </w:rPr>
        <w:t>adverse effects (Thomsen and Melzner 2010).</w:t>
      </w:r>
      <w:r w:rsidR="00E01B09" w:rsidRPr="0052729A">
        <w:rPr>
          <w:rFonts w:ascii="Times" w:hAnsi="Times" w:cs="AdvPTimes"/>
        </w:rPr>
        <w:t xml:space="preserve"> </w:t>
      </w:r>
    </w:p>
    <w:p w14:paraId="7E1A74E7" w14:textId="30F16D44" w:rsidR="00E01B09" w:rsidRPr="0052729A" w:rsidRDefault="00C02D9B"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Sustained environmental change, such as ocean acidification,</w:t>
      </w:r>
      <w:r w:rsidR="00E01B09" w:rsidRPr="0052729A">
        <w:rPr>
          <w:rFonts w:ascii="Times" w:hAnsi="Times" w:cs="AdvPTimes"/>
        </w:rPr>
        <w:t xml:space="preserve"> </w:t>
      </w:r>
      <w:r w:rsidRPr="0052729A">
        <w:rPr>
          <w:rFonts w:ascii="Times" w:hAnsi="Times" w:cs="AdvPTimes"/>
        </w:rPr>
        <w:t>can negatively affect both the ecosystem and economy.</w:t>
      </w:r>
      <w:r w:rsidR="00E01B09" w:rsidRPr="0052729A">
        <w:rPr>
          <w:rFonts w:ascii="Times" w:hAnsi="Times" w:cs="AdvPTimes"/>
        </w:rPr>
        <w:t xml:space="preserve"> </w:t>
      </w:r>
      <w:r w:rsidRPr="0052729A">
        <w:rPr>
          <w:rFonts w:ascii="Times" w:hAnsi="Times" w:cs="AdvPTimes"/>
        </w:rPr>
        <w:t>Shellfish, including oysters, provide important</w:t>
      </w:r>
      <w:r w:rsidR="00E01B09" w:rsidRPr="0052729A">
        <w:rPr>
          <w:rFonts w:ascii="Times" w:hAnsi="Times" w:cs="AdvPTimes"/>
        </w:rPr>
        <w:t xml:space="preserve"> </w:t>
      </w:r>
      <w:r w:rsidRPr="0052729A">
        <w:rPr>
          <w:rFonts w:ascii="Times" w:hAnsi="Times" w:cs="AdvPTimes"/>
        </w:rPr>
        <w:t>ecosystem services such as improved water quality and</w:t>
      </w:r>
      <w:r w:rsidR="00E01B09" w:rsidRPr="0052729A">
        <w:rPr>
          <w:rFonts w:ascii="Times" w:hAnsi="Times" w:cs="AdvPTimes"/>
        </w:rPr>
        <w:t xml:space="preserve"> </w:t>
      </w:r>
      <w:r w:rsidRPr="0052729A">
        <w:rPr>
          <w:rFonts w:ascii="Times" w:hAnsi="Times" w:cs="AdvPTimes"/>
        </w:rPr>
        <w:t>benthic-pelagic coupling through the filtration of large volumes</w:t>
      </w:r>
      <w:r w:rsidR="00E01B09" w:rsidRPr="0052729A">
        <w:rPr>
          <w:rFonts w:ascii="Times" w:hAnsi="Times" w:cs="AdvPTimes"/>
        </w:rPr>
        <w:t xml:space="preserve"> </w:t>
      </w:r>
      <w:r w:rsidRPr="0052729A">
        <w:rPr>
          <w:rFonts w:ascii="Times" w:hAnsi="Times" w:cs="AdvPTimes"/>
        </w:rPr>
        <w:t>of water, release of feces to the benthos, and creation of</w:t>
      </w:r>
      <w:r w:rsidR="00E01B09" w:rsidRPr="0052729A">
        <w:rPr>
          <w:rFonts w:ascii="Times" w:hAnsi="Times" w:cs="AdvPTimes"/>
        </w:rPr>
        <w:t xml:space="preserve"> </w:t>
      </w:r>
      <w:r w:rsidRPr="0052729A">
        <w:rPr>
          <w:rFonts w:ascii="Times" w:hAnsi="Times" w:cs="AdvPTimes"/>
        </w:rPr>
        <w:t>habitat via reef formation (Coen and Luckenbach 2000). In</w:t>
      </w:r>
      <w:r w:rsidR="00E01B09" w:rsidRPr="0052729A">
        <w:rPr>
          <w:rFonts w:ascii="Times" w:hAnsi="Times" w:cs="AdvPTimes"/>
        </w:rPr>
        <w:t xml:space="preserve"> </w:t>
      </w:r>
      <w:r w:rsidRPr="0052729A">
        <w:rPr>
          <w:rFonts w:ascii="Times" w:hAnsi="Times" w:cs="AdvPTimes"/>
        </w:rPr>
        <w:t>addition to their ecological roles, mollusks are economically</w:t>
      </w:r>
      <w:r w:rsidR="00E01B09" w:rsidRPr="0052729A">
        <w:rPr>
          <w:rFonts w:ascii="Times" w:hAnsi="Times" w:cs="AdvPTimes"/>
        </w:rPr>
        <w:t xml:space="preserve"> </w:t>
      </w:r>
      <w:r w:rsidRPr="0052729A">
        <w:rPr>
          <w:rFonts w:ascii="Times" w:hAnsi="Times" w:cs="AdvPTimes"/>
        </w:rPr>
        <w:t>important to many coastal communities worldwide. In 2008,</w:t>
      </w:r>
      <w:r w:rsidR="00E01B09" w:rsidRPr="0052729A">
        <w:rPr>
          <w:rFonts w:ascii="Times" w:hAnsi="Times" w:cs="AdvPTimes"/>
        </w:rPr>
        <w:t xml:space="preserve"> </w:t>
      </w:r>
      <w:r w:rsidRPr="0052729A">
        <w:rPr>
          <w:rFonts w:ascii="Times" w:hAnsi="Times" w:cs="AdvPTimes"/>
        </w:rPr>
        <w:t>mollusks comprised 64.1 % (or 13.1 million tons) of</w:t>
      </w:r>
      <w:r w:rsidR="00E01B09" w:rsidRPr="0052729A">
        <w:rPr>
          <w:rFonts w:ascii="Times" w:hAnsi="Times" w:cs="AdvPTimes"/>
        </w:rPr>
        <w:t xml:space="preserve"> </w:t>
      </w:r>
      <w:r w:rsidRPr="0052729A">
        <w:rPr>
          <w:rFonts w:ascii="Times" w:hAnsi="Times" w:cs="AdvPTimes"/>
        </w:rPr>
        <w:t>worldwide aquaculture production, with oysters accounting</w:t>
      </w:r>
      <w:r w:rsidR="00E01B09" w:rsidRPr="0052729A">
        <w:rPr>
          <w:rFonts w:ascii="Times" w:hAnsi="Times" w:cs="AdvPTimes"/>
        </w:rPr>
        <w:t xml:space="preserve"> </w:t>
      </w:r>
      <w:r w:rsidRPr="0052729A">
        <w:rPr>
          <w:rFonts w:ascii="Times" w:hAnsi="Times" w:cs="AdvPTimes"/>
        </w:rPr>
        <w:t>for 31.8 % of the total production (FAO 2010). The global</w:t>
      </w:r>
      <w:r w:rsidR="00E01B09" w:rsidRPr="0052729A">
        <w:rPr>
          <w:rFonts w:ascii="Times" w:hAnsi="Times" w:cs="AdvPTimes"/>
        </w:rPr>
        <w:t xml:space="preserve"> </w:t>
      </w:r>
      <w:r w:rsidRPr="0052729A">
        <w:rPr>
          <w:rFonts w:ascii="Times" w:hAnsi="Times" w:cs="AdvPTimes"/>
        </w:rPr>
        <w:t>economic cost of ocean acidification to the mollusk fishery is</w:t>
      </w:r>
      <w:r w:rsidR="00E01B09" w:rsidRPr="0052729A">
        <w:rPr>
          <w:rFonts w:ascii="Times" w:hAnsi="Times" w:cs="AdvPTimes"/>
        </w:rPr>
        <w:t xml:space="preserve"> </w:t>
      </w:r>
      <w:r w:rsidRPr="0052729A">
        <w:rPr>
          <w:rFonts w:ascii="Times" w:hAnsi="Times" w:cs="AdvPTimes"/>
        </w:rPr>
        <w:t>unclear but has been estimated to increase with rising</w:t>
      </w:r>
      <w:r w:rsidR="00E01B09" w:rsidRPr="0052729A">
        <w:rPr>
          <w:rFonts w:ascii="Times" w:hAnsi="Times" w:cs="AdvPTimes"/>
        </w:rPr>
        <w:t xml:space="preserve"> </w:t>
      </w:r>
      <w:r w:rsidRPr="0052729A">
        <w:rPr>
          <w:rFonts w:ascii="Times" w:hAnsi="Times" w:cs="AdvPTimes"/>
        </w:rPr>
        <w:t>atmospheric CO</w:t>
      </w:r>
      <w:r w:rsidRPr="0052729A">
        <w:rPr>
          <w:rFonts w:ascii="Times" w:hAnsi="Times" w:cs="AdvPTimes"/>
          <w:vertAlign w:val="subscript"/>
        </w:rPr>
        <w:t>2</w:t>
      </w:r>
      <w:r w:rsidRPr="0052729A">
        <w:rPr>
          <w:rFonts w:ascii="Times" w:hAnsi="Times" w:cs="AdvPTimes"/>
        </w:rPr>
        <w:t xml:space="preserve"> levels and terrestrial sources of acidification</w:t>
      </w:r>
      <w:r w:rsidR="00E01B09" w:rsidRPr="0052729A">
        <w:rPr>
          <w:rFonts w:ascii="Times" w:hAnsi="Times" w:cs="AdvPTimes"/>
        </w:rPr>
        <w:t xml:space="preserve"> </w:t>
      </w:r>
      <w:r w:rsidRPr="0052729A">
        <w:rPr>
          <w:rFonts w:ascii="Times" w:hAnsi="Times" w:cs="AdvPTimes"/>
        </w:rPr>
        <w:t>(Narita et al. 2012). Recently, in the Pacific Northwest</w:t>
      </w:r>
      <w:r w:rsidR="00E01B09" w:rsidRPr="0052729A">
        <w:rPr>
          <w:rFonts w:ascii="Times" w:hAnsi="Times" w:cs="AdvPTimes"/>
        </w:rPr>
        <w:t xml:space="preserve"> </w:t>
      </w:r>
      <w:r w:rsidRPr="0052729A">
        <w:rPr>
          <w:rFonts w:ascii="Times" w:hAnsi="Times" w:cs="AdvPTimes"/>
        </w:rPr>
        <w:t>of the US, concern has heightened over the already apparent</w:t>
      </w:r>
      <w:r w:rsidR="00E01B09" w:rsidRPr="0052729A">
        <w:rPr>
          <w:rFonts w:ascii="Times" w:hAnsi="Times" w:cs="AdvPTimes"/>
        </w:rPr>
        <w:t xml:space="preserve"> </w:t>
      </w:r>
      <w:r w:rsidRPr="0052729A">
        <w:rPr>
          <w:rFonts w:ascii="Times" w:hAnsi="Times" w:cs="AdvPTimes"/>
        </w:rPr>
        <w:t>effects of corrosive, acidified water on both natural and</w:t>
      </w:r>
      <w:r w:rsidR="00E01B09" w:rsidRPr="0052729A">
        <w:rPr>
          <w:rFonts w:ascii="Times" w:hAnsi="Times" w:cs="AdvPTimes"/>
        </w:rPr>
        <w:t xml:space="preserve"> </w:t>
      </w:r>
      <w:r w:rsidRPr="0052729A">
        <w:rPr>
          <w:rFonts w:ascii="Times" w:hAnsi="Times" w:cs="AdvPTimes"/>
        </w:rPr>
        <w:t xml:space="preserve">hatchery production of </w:t>
      </w:r>
      <w:r w:rsidRPr="0052729A">
        <w:rPr>
          <w:rFonts w:ascii="Times" w:hAnsi="Times" w:cs="AdvPTimes"/>
          <w:i/>
        </w:rPr>
        <w:t>C. gigas</w:t>
      </w:r>
      <w:r w:rsidRPr="0052729A">
        <w:rPr>
          <w:rFonts w:ascii="Times" w:hAnsi="Times" w:cs="AdvPTimes"/>
        </w:rPr>
        <w:t xml:space="preserve"> larvae (Elston et al. 2008;</w:t>
      </w:r>
      <w:r w:rsidR="00E01B09" w:rsidRPr="0052729A">
        <w:rPr>
          <w:rFonts w:ascii="Times" w:hAnsi="Times" w:cs="AdvPTimes"/>
        </w:rPr>
        <w:t xml:space="preserve"> </w:t>
      </w:r>
      <w:r w:rsidRPr="0052729A">
        <w:rPr>
          <w:rFonts w:ascii="Times" w:hAnsi="Times" w:cs="AdvPTimes"/>
        </w:rPr>
        <w:t>Feely et al. 2010; Barton et al. 2012). Hatchery water supply</w:t>
      </w:r>
      <w:r w:rsidR="00E01B09" w:rsidRPr="0052729A">
        <w:rPr>
          <w:rFonts w:ascii="Times" w:hAnsi="Times" w:cs="AdvPTimes"/>
        </w:rPr>
        <w:t xml:space="preserve"> </w:t>
      </w:r>
      <w:r w:rsidRPr="0052729A">
        <w:rPr>
          <w:rFonts w:ascii="Times" w:hAnsi="Times" w:cs="AdvPTimes"/>
        </w:rPr>
        <w:t>comes from adjacent natural bays, and when upwelling</w:t>
      </w:r>
      <w:r w:rsidR="00E01B09" w:rsidRPr="0052729A">
        <w:rPr>
          <w:rFonts w:ascii="Times" w:hAnsi="Times" w:cs="AdvPTimes"/>
        </w:rPr>
        <w:t xml:space="preserve"> </w:t>
      </w:r>
      <w:r w:rsidRPr="0052729A">
        <w:rPr>
          <w:rFonts w:ascii="Times" w:hAnsi="Times" w:cs="AdvPTimes"/>
        </w:rPr>
        <w:t>events occur, the water that enters the hatchery can reach</w:t>
      </w:r>
      <w:r w:rsidR="007128BB" w:rsidRPr="0052729A">
        <w:rPr>
          <w:rFonts w:ascii="Times" w:hAnsi="Times" w:cs="AdvPTimes"/>
        </w:rPr>
        <w:t xml:space="preserve"> and exceed</w:t>
      </w:r>
      <w:r w:rsidR="00E01B09" w:rsidRPr="0052729A">
        <w:rPr>
          <w:rFonts w:ascii="Times" w:hAnsi="Times" w:cs="AdvPTimes"/>
        </w:rPr>
        <w:t xml:space="preserve">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00DB3ADB" w:rsidRPr="0052729A">
        <w:rPr>
          <w:rFonts w:ascii="Times" w:hAnsi="Times" w:cs="AdvPTimes"/>
        </w:rPr>
        <w:t xml:space="preserve"> </w:t>
      </w:r>
      <w:r w:rsidR="007128BB" w:rsidRPr="0052729A">
        <w:rPr>
          <w:rFonts w:ascii="Times" w:hAnsi="Times" w:cs="AdvPTimes"/>
        </w:rPr>
        <w:t>of</w:t>
      </w:r>
      <w:r w:rsidR="00DB3ADB" w:rsidRPr="0052729A">
        <w:rPr>
          <w:rFonts w:ascii="Times" w:hAnsi="Times" w:cs="AdvPTimes"/>
        </w:rPr>
        <w:t xml:space="preserve"> 1,000 μ</w:t>
      </w:r>
      <w:r w:rsidRPr="0052729A">
        <w:rPr>
          <w:rFonts w:ascii="Times" w:hAnsi="Times" w:cs="AdvPTimes"/>
        </w:rPr>
        <w:t>atm (S. Alin, unpublished data; B. Eudeline,</w:t>
      </w:r>
      <w:r w:rsidR="00E01B09" w:rsidRPr="0052729A">
        <w:rPr>
          <w:rFonts w:ascii="Times" w:hAnsi="Times" w:cs="AdvPTimes"/>
        </w:rPr>
        <w:t xml:space="preserve"> </w:t>
      </w:r>
      <w:r w:rsidRPr="0052729A">
        <w:rPr>
          <w:rFonts w:ascii="Times" w:hAnsi="Times" w:cs="AdvPTimes"/>
        </w:rPr>
        <w:t>pers. comm.). These upwelling events have been</w:t>
      </w:r>
      <w:r w:rsidR="00E01B09" w:rsidRPr="0052729A">
        <w:rPr>
          <w:rFonts w:ascii="Times" w:hAnsi="Times" w:cs="AdvPTimes"/>
        </w:rPr>
        <w:t xml:space="preserve"> </w:t>
      </w:r>
      <w:r w:rsidRPr="0052729A">
        <w:rPr>
          <w:rFonts w:ascii="Times" w:hAnsi="Times" w:cs="AdvPTimes"/>
        </w:rPr>
        <w:t>linked to mortality episodes in the hatchery, perhaps due to a</w:t>
      </w:r>
      <w:r w:rsidR="00E01B09" w:rsidRPr="0052729A">
        <w:rPr>
          <w:rFonts w:ascii="Times" w:hAnsi="Times" w:cs="AdvPTimes"/>
        </w:rPr>
        <w:t xml:space="preserve"> </w:t>
      </w:r>
      <w:r w:rsidRPr="0052729A">
        <w:rPr>
          <w:rFonts w:ascii="Times" w:hAnsi="Times" w:cs="AdvPTimes"/>
        </w:rPr>
        <w:t>combination of acidic water and pathogens associated with</w:t>
      </w:r>
      <w:r w:rsidR="00E01B09" w:rsidRPr="0052729A">
        <w:rPr>
          <w:rFonts w:ascii="Times" w:hAnsi="Times" w:cs="AdvPTimes"/>
        </w:rPr>
        <w:t xml:space="preserve"> </w:t>
      </w:r>
      <w:r w:rsidRPr="0052729A">
        <w:rPr>
          <w:rFonts w:ascii="Times" w:hAnsi="Times" w:cs="AdvPTimes"/>
        </w:rPr>
        <w:t>the water masses (Elston et al. 2008). Acidification events</w:t>
      </w:r>
      <w:r w:rsidR="00E01B09" w:rsidRPr="0052729A">
        <w:rPr>
          <w:rFonts w:ascii="Times" w:hAnsi="Times" w:cs="AdvPTimes"/>
        </w:rPr>
        <w:t xml:space="preserve"> </w:t>
      </w:r>
      <w:r w:rsidRPr="0052729A">
        <w:rPr>
          <w:rFonts w:ascii="Times" w:hAnsi="Times" w:cs="AdvPTimes"/>
        </w:rPr>
        <w:t>are projected to become more frequent and sustained as</w:t>
      </w:r>
      <w:r w:rsidR="00E01B09" w:rsidRPr="0052729A">
        <w:rPr>
          <w:rFonts w:ascii="Times" w:hAnsi="Times" w:cs="AdvPTimes"/>
        </w:rPr>
        <w:t xml:space="preserve"> </w:t>
      </w:r>
      <w:r w:rsidRPr="0052729A">
        <w:rPr>
          <w:rFonts w:ascii="Times" w:hAnsi="Times" w:cs="AdvPTimes"/>
        </w:rPr>
        <w:t xml:space="preserve">atmospheric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Pr="0052729A">
        <w:rPr>
          <w:rFonts w:ascii="Times" w:hAnsi="Times" w:cs="AdvPTimes"/>
        </w:rPr>
        <w:t xml:space="preserve"> continues to rise.</w:t>
      </w:r>
      <w:r w:rsidR="00E01B09" w:rsidRPr="0052729A">
        <w:rPr>
          <w:rFonts w:ascii="Times" w:hAnsi="Times" w:cs="AdvPTimes"/>
        </w:rPr>
        <w:t xml:space="preserve"> </w:t>
      </w:r>
    </w:p>
    <w:p w14:paraId="5803AB7E" w14:textId="2E02DB74" w:rsidR="00C02D9B"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52729A">
        <w:rPr>
          <w:rFonts w:ascii="Times" w:hAnsi="Times" w:cs="AdvPTimes"/>
        </w:rPr>
        <w:t>This study characterized the effects of two elevated levels</w:t>
      </w:r>
      <w:r w:rsidR="00E01B09" w:rsidRPr="0052729A">
        <w:rPr>
          <w:rFonts w:ascii="Times" w:hAnsi="Times" w:cs="AdvPTimes"/>
        </w:rPr>
        <w:t xml:space="preserve"> </w:t>
      </w:r>
      <w:r w:rsidRPr="0052729A">
        <w:rPr>
          <w:rFonts w:ascii="Times" w:hAnsi="Times" w:cs="AdvPTimes"/>
        </w:rPr>
        <w:t xml:space="preserve">of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Pr="0052729A">
        <w:rPr>
          <w:rFonts w:ascii="Times" w:hAnsi="Times" w:cs="AdvPTimes"/>
        </w:rPr>
        <w:t xml:space="preserve"> on size, calcification, and development during early</w:t>
      </w:r>
      <w:r w:rsidR="00E01B09" w:rsidRPr="0052729A">
        <w:rPr>
          <w:rFonts w:ascii="Times" w:hAnsi="Times" w:cs="AdvPTimes"/>
        </w:rPr>
        <w:t xml:space="preserve"> </w:t>
      </w:r>
      <w:r w:rsidRPr="0052729A">
        <w:rPr>
          <w:rFonts w:ascii="Times" w:hAnsi="Times" w:cs="AdvPTimes"/>
        </w:rPr>
        <w:t xml:space="preserve">larval stages of the Pacific oyster, </w:t>
      </w:r>
      <w:r w:rsidRPr="0052729A">
        <w:rPr>
          <w:rFonts w:ascii="Times" w:hAnsi="Times" w:cs="AdvPTimes"/>
          <w:i/>
        </w:rPr>
        <w:t>Crassostrea gigas</w:t>
      </w:r>
      <w:r w:rsidRPr="0052729A">
        <w:rPr>
          <w:rFonts w:ascii="Times" w:hAnsi="Times" w:cs="AdvPTimes"/>
        </w:rPr>
        <w:t>. Oyster</w:t>
      </w:r>
      <w:r w:rsidR="00E01B09" w:rsidRPr="0052729A">
        <w:rPr>
          <w:rFonts w:ascii="Times" w:hAnsi="Times" w:cs="AdvPTimes"/>
        </w:rPr>
        <w:t xml:space="preserve"> </w:t>
      </w:r>
      <w:r w:rsidRPr="0052729A">
        <w:rPr>
          <w:rFonts w:ascii="Times" w:hAnsi="Times" w:cs="AdvPTimes"/>
        </w:rPr>
        <w:t xml:space="preserve">larvae were raised in two elevated levels of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Pr="0052729A">
        <w:rPr>
          <w:rFonts w:ascii="Times" w:hAnsi="Times" w:cs="AdvPTimes"/>
        </w:rPr>
        <w:t xml:space="preserve"> (700 and</w:t>
      </w:r>
      <w:r w:rsidR="00E01B09" w:rsidRPr="0052729A">
        <w:rPr>
          <w:rFonts w:ascii="Times" w:hAnsi="Times" w:cs="AdvPTimes"/>
        </w:rPr>
        <w:t xml:space="preserve"> </w:t>
      </w:r>
      <w:r w:rsidR="00DB3ADB" w:rsidRPr="0052729A">
        <w:rPr>
          <w:rFonts w:ascii="Times" w:hAnsi="Times" w:cs="AdvPTimes"/>
        </w:rPr>
        <w:t>1,000 μ</w:t>
      </w:r>
      <w:r w:rsidRPr="0052729A">
        <w:rPr>
          <w:rFonts w:ascii="Times" w:hAnsi="Times" w:cs="AdvPTimes"/>
        </w:rPr>
        <w:t>atm) and ambient (</w:t>
      </w:r>
      <w:r w:rsidR="00DB3ADB" w:rsidRPr="0052729A">
        <w:rPr>
          <w:rFonts w:ascii="Times" w:hAnsi="Times" w:cs="AdvPTimes"/>
        </w:rPr>
        <w:t>400 μ</w:t>
      </w:r>
      <w:r w:rsidR="00E01B09" w:rsidRPr="0052729A">
        <w:rPr>
          <w:rFonts w:ascii="Times" w:hAnsi="Times" w:cs="AdvPTimes"/>
        </w:rPr>
        <w:t xml:space="preserve">atm) seawater through 72 h </w:t>
      </w:r>
      <w:r w:rsidRPr="0052729A">
        <w:rPr>
          <w:rFonts w:ascii="Times" w:hAnsi="Times" w:cs="AdvPTimes"/>
        </w:rPr>
        <w:t>following fertilization. The chemistry scenarios simulated in</w:t>
      </w:r>
      <w:r w:rsidR="00E01B09" w:rsidRPr="0052729A">
        <w:rPr>
          <w:rFonts w:ascii="Times" w:hAnsi="Times" w:cs="AdvPTimes"/>
        </w:rPr>
        <w:t xml:space="preserve"> </w:t>
      </w:r>
      <w:r w:rsidRPr="0052729A">
        <w:rPr>
          <w:rFonts w:ascii="Times" w:hAnsi="Times" w:cs="AdvPTimes"/>
        </w:rPr>
        <w:t>this study are based on projections for the coming century,</w:t>
      </w:r>
      <w:r w:rsidR="00E01B09" w:rsidRPr="0052729A">
        <w:rPr>
          <w:rFonts w:ascii="Times" w:hAnsi="Times" w:cs="AdvPTimes"/>
        </w:rPr>
        <w:t xml:space="preserve"> </w:t>
      </w:r>
      <w:r w:rsidR="00DB3ADB" w:rsidRPr="0052729A">
        <w:rPr>
          <w:rFonts w:ascii="Times" w:hAnsi="Times" w:cs="AdvPTimes"/>
        </w:rPr>
        <w:t>but these values of low pH and Ω</w:t>
      </w:r>
      <w:r w:rsidRPr="0052729A">
        <w:rPr>
          <w:rFonts w:ascii="Times" w:hAnsi="Times" w:cs="AdvPTimes"/>
        </w:rPr>
        <w:t xml:space="preserve"> are already occurring with</w:t>
      </w:r>
      <w:r w:rsidR="00E01B09" w:rsidRPr="0052729A">
        <w:rPr>
          <w:rFonts w:ascii="Times" w:hAnsi="Times" w:cs="AdvPTimes"/>
        </w:rPr>
        <w:t xml:space="preserve"> </w:t>
      </w:r>
      <w:r w:rsidRPr="0052729A">
        <w:rPr>
          <w:rFonts w:ascii="Times" w:hAnsi="Times" w:cs="AdvPTimes"/>
        </w:rPr>
        <w:t>increasing frequency in nearshore upwelling systems off the</w:t>
      </w:r>
      <w:r w:rsidR="00E01B09" w:rsidRPr="0052729A">
        <w:rPr>
          <w:rFonts w:ascii="Times" w:hAnsi="Times" w:cs="AdvPTimes"/>
        </w:rPr>
        <w:t xml:space="preserve"> </w:t>
      </w:r>
      <w:r w:rsidRPr="0052729A">
        <w:rPr>
          <w:rFonts w:ascii="Times" w:hAnsi="Times" w:cs="AdvPTimes"/>
        </w:rPr>
        <w:t>US West coast (Feely et al. 2010; Hauri et al. 2009).</w:t>
      </w:r>
    </w:p>
    <w:p w14:paraId="1FD6D811" w14:textId="77777777" w:rsidR="00C02D9B" w:rsidRDefault="00C02D9B" w:rsidP="00C02D9B">
      <w:pPr>
        <w:pStyle w:val="Heading2"/>
      </w:pPr>
      <w:bookmarkStart w:id="18" w:name="_Toc257278772"/>
      <w:r>
        <w:t>M</w:t>
      </w:r>
      <w:r w:rsidR="00E01B09">
        <w:t>aterials and m</w:t>
      </w:r>
      <w:r>
        <w:t>ethods</w:t>
      </w:r>
      <w:bookmarkEnd w:id="18"/>
    </w:p>
    <w:p w14:paraId="102BCF1B" w14:textId="77777777" w:rsidR="00E01B09" w:rsidRDefault="00E01B09" w:rsidP="00E01B09">
      <w:pPr>
        <w:pStyle w:val="Heading3"/>
      </w:pPr>
      <w:bookmarkStart w:id="19" w:name="_Toc257278773"/>
      <w:r>
        <w:t>Seawater chemistry manipulation</w:t>
      </w:r>
      <w:bookmarkEnd w:id="19"/>
    </w:p>
    <w:p w14:paraId="2B9B72AD" w14:textId="77777777" w:rsidR="005643FD" w:rsidRPr="005643FD" w:rsidRDefault="005643FD" w:rsidP="005643FD"/>
    <w:p w14:paraId="7BB50ADC" w14:textId="734C7677" w:rsidR="00086257" w:rsidRPr="0052729A" w:rsidRDefault="00086257"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Experimental conditions were maintained using a flowthrough seawater system in Friday Harbor, Washington, USA. Water entering t</w:t>
      </w:r>
      <w:r w:rsidR="00DB3ADB" w:rsidRPr="0052729A">
        <w:rPr>
          <w:rFonts w:ascii="Times" w:hAnsi="Times" w:cs="AdvPTimes"/>
        </w:rPr>
        <w:t>he system was filtered (to 0.2-μ</w:t>
      </w:r>
      <w:r w:rsidRPr="0052729A">
        <w:rPr>
          <w:rFonts w:ascii="Times" w:hAnsi="Times" w:cs="AdvPTimes"/>
        </w:rPr>
        <w:t>m), UV-sterilized, and CO</w:t>
      </w:r>
      <w:r w:rsidRPr="0052729A">
        <w:rPr>
          <w:rFonts w:ascii="Times" w:hAnsi="Times" w:cs="AdvPTimes"/>
          <w:vertAlign w:val="subscript"/>
        </w:rPr>
        <w:t>2</w:t>
      </w:r>
      <w:r w:rsidRPr="0052729A">
        <w:rPr>
          <w:rFonts w:ascii="Times" w:hAnsi="Times" w:cs="AdvPTimes"/>
        </w:rPr>
        <w:t>-depleted using membrane contactors (Membrana, Charlotte, North Carolina, USA) under partial vacuum. Three experimental treatments were chosen to correspond with dissolved CO</w:t>
      </w:r>
      <w:r w:rsidRPr="0052729A">
        <w:rPr>
          <w:rFonts w:ascii="Times" w:hAnsi="Times" w:cs="AdvPTimes"/>
          <w:vertAlign w:val="subscript"/>
        </w:rPr>
        <w:t>2</w:t>
      </w:r>
      <w:r w:rsidRPr="0052729A">
        <w:rPr>
          <w:rFonts w:ascii="Times" w:hAnsi="Times" w:cs="AdvPTimes"/>
        </w:rPr>
        <w:t xml:space="preserve"> levels of 400, 700, or 1,000 ppm in the atmosphere. These three treatments will be referred to throughout the manuscript as Ambient, MidCO</w:t>
      </w:r>
      <w:r w:rsidRPr="0052729A">
        <w:rPr>
          <w:rFonts w:ascii="Times" w:hAnsi="Times" w:cs="AdvPTimes"/>
          <w:vertAlign w:val="subscript"/>
        </w:rPr>
        <w:t>2</w:t>
      </w:r>
      <w:r w:rsidRPr="0052729A">
        <w:rPr>
          <w:rFonts w:ascii="Times" w:hAnsi="Times" w:cs="AdvPTimes"/>
        </w:rPr>
        <w:t>, and HighCO</w:t>
      </w:r>
      <w:r w:rsidRPr="0052729A">
        <w:rPr>
          <w:rFonts w:ascii="Times" w:hAnsi="Times" w:cs="AdvPTimes"/>
          <w:vertAlign w:val="subscript"/>
        </w:rPr>
        <w:t>2</w:t>
      </w:r>
      <w:r w:rsidRPr="0052729A">
        <w:rPr>
          <w:rFonts w:ascii="Times" w:hAnsi="Times" w:cs="AdvPTimes"/>
        </w:rPr>
        <w:t>. Set-point pH levels were determined with the program CO</w:t>
      </w:r>
      <w:r w:rsidRPr="0052729A">
        <w:rPr>
          <w:rFonts w:ascii="Times" w:hAnsi="Times" w:cs="AdvPTimes"/>
          <w:vertAlign w:val="subscript"/>
        </w:rPr>
        <w:t>2</w:t>
      </w:r>
      <w:r w:rsidRPr="0052729A">
        <w:rPr>
          <w:rFonts w:ascii="Times" w:hAnsi="Times" w:cs="AdvPTimes"/>
        </w:rPr>
        <w:t>SYS (Robbins et al. 2010) using an ave</w:t>
      </w:r>
      <w:r w:rsidR="00DB3ADB" w:rsidRPr="0052729A">
        <w:rPr>
          <w:rFonts w:ascii="Times" w:hAnsi="Times" w:cs="AdvPTimes"/>
        </w:rPr>
        <w:t>rage total alkalinity of 2,060 μ</w:t>
      </w:r>
      <w:r w:rsidRPr="0052729A">
        <w:rPr>
          <w:rFonts w:ascii="Times" w:hAnsi="Times" w:cs="AdvPTimes"/>
        </w:rPr>
        <w:t>mol kg</w:t>
      </w:r>
      <w:r w:rsidRPr="0052729A">
        <w:rPr>
          <w:rFonts w:ascii="Times" w:hAnsi="Times" w:cs="AdvPTimes"/>
          <w:vertAlign w:val="superscript"/>
        </w:rPr>
        <w:t>-1</w:t>
      </w:r>
      <w:r w:rsidRPr="0052729A">
        <w:rPr>
          <w:rFonts w:ascii="Times" w:hAnsi="Times" w:cs="AdvPTimes"/>
        </w:rPr>
        <w:t xml:space="preserve"> based on total alkalinity measurements taken the week prior to the experimental trial.</w:t>
      </w:r>
    </w:p>
    <w:p w14:paraId="6B6E81C5" w14:textId="77777777" w:rsidR="00086257" w:rsidRPr="0052729A" w:rsidRDefault="00086257"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 xml:space="preserve">Larval </w:t>
      </w:r>
      <w:r w:rsidRPr="0052729A">
        <w:rPr>
          <w:rFonts w:ascii="Times" w:hAnsi="Times" w:cs="AdvPTimes"/>
          <w:i/>
        </w:rPr>
        <w:t>C. gigas</w:t>
      </w:r>
      <w:r w:rsidRPr="0052729A">
        <w:rPr>
          <w:rFonts w:ascii="Times" w:hAnsi="Times" w:cs="AdvPTimes"/>
        </w:rPr>
        <w:t xml:space="preserve"> were held in 3-L microcosms within a large reservoir filled with the respective treatment water. Ambient air stripped of CO</w:t>
      </w:r>
      <w:r w:rsidRPr="0052729A">
        <w:rPr>
          <w:rFonts w:ascii="Times" w:hAnsi="Times" w:cs="AdvPTimes"/>
          <w:vertAlign w:val="subscript"/>
        </w:rPr>
        <w:t>2</w:t>
      </w:r>
      <w:r w:rsidRPr="0052729A">
        <w:rPr>
          <w:rFonts w:ascii="Times" w:hAnsi="Times" w:cs="AdvPTimes"/>
        </w:rPr>
        <w:t xml:space="preserve"> by a CO</w:t>
      </w:r>
      <w:r w:rsidRPr="0052729A">
        <w:rPr>
          <w:rFonts w:ascii="Times" w:hAnsi="Times" w:cs="AdvPTimes"/>
          <w:vertAlign w:val="subscript"/>
        </w:rPr>
        <w:t>2</w:t>
      </w:r>
      <w:r w:rsidRPr="0052729A">
        <w:rPr>
          <w:rFonts w:ascii="Times" w:hAnsi="Times" w:cs="AdvPTimes"/>
        </w:rPr>
        <w:t xml:space="preserve"> adsorption unit (Twin Tower Engineering, Broomfield, Colorado, USA) was used to aerate the seawater within the reservoirs through a Venturi injector into the larger reservoir of treatment water. This replaced oxygen lost through the degassing process. Reservoir pH was continuously monitored by a Durafet III pH probe (Honeywell, Morristown, New Jersey, USA). When the probe registered that the treatment’s pH strayed from its set point, a solenoid would open or close to allow more or less pure CO</w:t>
      </w:r>
      <w:r w:rsidRPr="0052729A">
        <w:rPr>
          <w:rFonts w:ascii="Times" w:hAnsi="Times" w:cs="AdvPTimes"/>
          <w:vertAlign w:val="subscript"/>
        </w:rPr>
        <w:t>2</w:t>
      </w:r>
      <w:r w:rsidRPr="0052729A">
        <w:rPr>
          <w:rFonts w:ascii="Times" w:hAnsi="Times" w:cs="AdvPTimes"/>
        </w:rPr>
        <w:t xml:space="preserve"> (Praxair, Danbury, Connecticut, USA) to be injected via the Venturi.  The Durafet probe information was fed into a Honeywell UDA2182 pH controller, which also controlled the solenoids.</w:t>
      </w:r>
    </w:p>
    <w:p w14:paraId="0975597B" w14:textId="30012300" w:rsidR="00086257" w:rsidRPr="0052729A" w:rsidRDefault="00086257"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Seawater was pumped from the reservoir into larval microcosms through irrigation drippers (DIG Industries, Sun Valley, California, USA) at a rate of 1.9-L h</w:t>
      </w:r>
      <w:r w:rsidRPr="0052729A">
        <w:rPr>
          <w:rFonts w:ascii="Times" w:hAnsi="Times" w:cs="AdvPTimes"/>
          <w:vertAlign w:val="superscript"/>
        </w:rPr>
        <w:t>-1</w:t>
      </w:r>
      <w:r w:rsidRPr="0052729A">
        <w:rPr>
          <w:rFonts w:ascii="Times" w:hAnsi="Times" w:cs="AdvPTimes"/>
        </w:rPr>
        <w:t>. An outflow tube at the top of</w:t>
      </w:r>
      <w:r w:rsidR="00DB3ADB" w:rsidRPr="0052729A">
        <w:rPr>
          <w:rFonts w:ascii="Times" w:hAnsi="Times" w:cs="AdvPTimes"/>
        </w:rPr>
        <w:t xml:space="preserve"> the microcosms fitted with 35-μ</w:t>
      </w:r>
      <w:r w:rsidRPr="0052729A">
        <w:rPr>
          <w:rFonts w:ascii="Times" w:hAnsi="Times" w:cs="AdvPTimes"/>
        </w:rPr>
        <w:t>m mesh allowed water to exit the microcosms while retaining larvae. All systems were equilibrated to the correct treatment level 48 h prior to the start of the experiment. Water temp</w:t>
      </w:r>
      <w:r w:rsidR="00DB3ADB" w:rsidRPr="0052729A">
        <w:rPr>
          <w:rFonts w:ascii="Times" w:hAnsi="Times" w:cs="AdvPTimes"/>
        </w:rPr>
        <w:t>erature was held at 20.4 ± 0.4°</w:t>
      </w:r>
      <w:r w:rsidRPr="0052729A">
        <w:rPr>
          <w:rFonts w:ascii="Times" w:hAnsi="Times" w:cs="AdvPTimes"/>
        </w:rPr>
        <w:t>C.</w:t>
      </w:r>
    </w:p>
    <w:p w14:paraId="75F68159" w14:textId="77777777" w:rsidR="00E01B09" w:rsidRPr="0052729A" w:rsidRDefault="00E01B09" w:rsidP="00E01B09">
      <w:pPr>
        <w:pStyle w:val="Heading3"/>
      </w:pPr>
      <w:bookmarkStart w:id="20" w:name="_Toc257278774"/>
      <w:r w:rsidRPr="0052729A">
        <w:t>Oysters</w:t>
      </w:r>
      <w:bookmarkEnd w:id="20"/>
    </w:p>
    <w:p w14:paraId="0CCD1FFB" w14:textId="77777777" w:rsidR="00086257" w:rsidRPr="0052729A" w:rsidRDefault="00086257"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 xml:space="preserve">Ten female and four male adult </w:t>
      </w:r>
      <w:r w:rsidRPr="0052729A">
        <w:rPr>
          <w:rFonts w:ascii="Times" w:hAnsi="Times" w:cs="AdvPTimes"/>
          <w:i/>
        </w:rPr>
        <w:t>C. gigas</w:t>
      </w:r>
      <w:r w:rsidRPr="0052729A">
        <w:rPr>
          <w:rFonts w:ascii="Times" w:hAnsi="Times" w:cs="AdvPTimes"/>
        </w:rPr>
        <w:t xml:space="preserve"> were collected from Argyle Creek in Friday Harbor, Washington, in July 2011. Oysters were strip-spawned into Ambient seawater with eggs and sperm pooled separately (day 0). Pooled eggs (approximately 2 million) were divided equally into 18 7.5-cm diameter containers. Sperm was diluted (so as to approximate a 1:1 sperm/egg ratio) in Ambient seawater and added to each container of eggs. After the addition of sperm, the eggs were gently agitated and incubated for 15 min to allow for fertilization.</w:t>
      </w:r>
    </w:p>
    <w:p w14:paraId="1470F2B9" w14:textId="274093CF" w:rsidR="00086257" w:rsidRPr="0052729A" w:rsidRDefault="00086257"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Six containers of fertilized eggs were transferred to microcosms containing one of three treatment conditions. Initial densities post-hatching were approximately 1 larva mL</w:t>
      </w:r>
      <w:r w:rsidRPr="0052729A">
        <w:rPr>
          <w:rFonts w:ascii="Times" w:hAnsi="Times" w:cs="AdvPTimes"/>
          <w:vertAlign w:val="superscript"/>
        </w:rPr>
        <w:t>-1</w:t>
      </w:r>
      <w:r w:rsidRPr="0052729A">
        <w:rPr>
          <w:rFonts w:ascii="Times" w:hAnsi="Times" w:cs="AdvPTimes"/>
        </w:rPr>
        <w:t>. On days 1 and 3 post-fertilization, larvae were randomly sampled to determine survival, size, developmental</w:t>
      </w:r>
      <w:r w:rsidR="00DB3ADB" w:rsidRPr="0052729A">
        <w:rPr>
          <w:rFonts w:ascii="Times" w:hAnsi="Times" w:cs="AdvPTimes"/>
        </w:rPr>
        <w:t xml:space="preserve"> </w:t>
      </w:r>
      <w:r w:rsidRPr="0052729A">
        <w:rPr>
          <w:rFonts w:ascii="Times" w:hAnsi="Times" w:cs="AdvPTimes"/>
        </w:rPr>
        <w:t>stage, and presence or absence of calcification. For each microcosm sampled</w:t>
      </w:r>
      <w:r w:rsidR="00DB3ADB" w:rsidRPr="0052729A">
        <w:rPr>
          <w:rFonts w:ascii="Times" w:hAnsi="Times" w:cs="AdvPTimes"/>
        </w:rPr>
        <w:t>, larvae were filtered onto 35-μ</w:t>
      </w:r>
      <w:r w:rsidRPr="0052729A">
        <w:rPr>
          <w:rFonts w:ascii="Times" w:hAnsi="Times" w:cs="AdvPTimes"/>
        </w:rPr>
        <w:t>m mesh screens and washed with the appropriate seawater.  Approximately 100 larvae were removed for each sample, relaxed with 7.5 % MgCl</w:t>
      </w:r>
      <w:r w:rsidRPr="0052729A">
        <w:rPr>
          <w:rFonts w:ascii="Times" w:hAnsi="Times" w:cs="AdvPTimes"/>
          <w:vertAlign w:val="subscript"/>
        </w:rPr>
        <w:t>2</w:t>
      </w:r>
      <w:r w:rsidR="00DB3ADB" w:rsidRPr="0052729A">
        <w:rPr>
          <w:rFonts w:ascii="Times" w:hAnsi="Times" w:cs="AdvPTimes"/>
        </w:rPr>
        <w:t>, and fixed in 4</w:t>
      </w:r>
      <w:r w:rsidRPr="0052729A">
        <w:rPr>
          <w:rFonts w:ascii="Times" w:hAnsi="Times" w:cs="AdvPTimes"/>
        </w:rPr>
        <w:t xml:space="preserve">% paraformaldehyde buffered in filtered seawater. The remaining larvae were returned to cleaned microcosms filled with new seawater.  Larvae were fed </w:t>
      </w:r>
      <w:r w:rsidRPr="0052729A">
        <w:rPr>
          <w:rFonts w:ascii="Times" w:hAnsi="Times" w:cs="AdvPTimes"/>
          <w:i/>
        </w:rPr>
        <w:t>Dunaliellia</w:t>
      </w:r>
      <w:r w:rsidRPr="0052729A">
        <w:rPr>
          <w:rFonts w:ascii="Times" w:hAnsi="Times" w:cs="AdvPTimes"/>
        </w:rPr>
        <w:t xml:space="preserve"> sp. and </w:t>
      </w:r>
      <w:r w:rsidRPr="0052729A">
        <w:rPr>
          <w:rFonts w:ascii="Times" w:hAnsi="Times" w:cs="AdvPTimes"/>
          <w:i/>
        </w:rPr>
        <w:t>Isochrysis</w:t>
      </w:r>
      <w:r w:rsidRPr="0052729A">
        <w:rPr>
          <w:rFonts w:ascii="Times" w:hAnsi="Times" w:cs="AdvPTimes"/>
        </w:rPr>
        <w:t xml:space="preserve"> sp. at concentrations of 30,000 cells mL</w:t>
      </w:r>
      <w:r w:rsidRPr="0052729A">
        <w:rPr>
          <w:rFonts w:ascii="Times" w:hAnsi="Times" w:cs="AdvPTimes"/>
          <w:vertAlign w:val="superscript"/>
        </w:rPr>
        <w:t>-1</w:t>
      </w:r>
      <w:r w:rsidRPr="0052729A">
        <w:rPr>
          <w:rFonts w:ascii="Times" w:hAnsi="Times" w:cs="AdvPTimes"/>
        </w:rPr>
        <w:t xml:space="preserve"> each (concentrations for optimal larval growth) on day 2. During feeding, water flow was turned off in microcosms for 2 h. All microcosms were cleaned at each sampling event. </w:t>
      </w:r>
    </w:p>
    <w:p w14:paraId="55B7C79E" w14:textId="7A733D7E" w:rsidR="0059047D" w:rsidRPr="008014F1" w:rsidRDefault="00086257" w:rsidP="008014F1">
      <w:pPr>
        <w:widowControl w:val="0"/>
        <w:autoSpaceDE w:val="0"/>
        <w:autoSpaceDN w:val="0"/>
        <w:adjustRightInd w:val="0"/>
        <w:spacing w:line="360" w:lineRule="auto"/>
        <w:ind w:firstLine="720"/>
        <w:rPr>
          <w:rFonts w:ascii="Times" w:hAnsi="Times" w:cs="AdvPTimes"/>
        </w:rPr>
      </w:pPr>
      <w:r w:rsidRPr="0052729A">
        <w:rPr>
          <w:rFonts w:ascii="Times" w:hAnsi="Times" w:cs="AdvPTimes"/>
        </w:rPr>
        <w:t>Larvae were examined using light microscopy to determine survival, size, developmental stage, and shell presence/absence. S</w:t>
      </w:r>
      <w:r w:rsidR="00DB3ADB" w:rsidRPr="0052729A">
        <w:rPr>
          <w:rFonts w:ascii="Times" w:hAnsi="Times" w:cs="AdvPTimes"/>
        </w:rPr>
        <w:t>urvival was determined at 20–40x</w:t>
      </w:r>
      <w:r w:rsidRPr="0052729A">
        <w:rPr>
          <w:rFonts w:ascii="Times" w:hAnsi="Times" w:cs="AdvPTimes"/>
        </w:rPr>
        <w:t>: larvae were counted as dead if there was a complete absence of ciliary movement. Larval hinge length and s</w:t>
      </w:r>
      <w:r w:rsidR="00DB3ADB" w:rsidRPr="0052729A">
        <w:rPr>
          <w:rFonts w:ascii="Times" w:hAnsi="Times" w:cs="AdvPTimes"/>
        </w:rPr>
        <w:t>hell height were measured at 10x</w:t>
      </w:r>
      <w:r w:rsidRPr="0052729A">
        <w:rPr>
          <w:rFonts w:ascii="Times" w:hAnsi="Times" w:cs="AdvPTimes"/>
        </w:rPr>
        <w:t xml:space="preserve"> magnification with a Nikon Eclipse E600 and NIS Elements Basic Research software</w:t>
      </w:r>
      <w:r w:rsidR="00DB3ADB" w:rsidRPr="0052729A">
        <w:rPr>
          <w:rFonts w:ascii="Times" w:hAnsi="Times" w:cs="AdvPTimes"/>
        </w:rPr>
        <w:t xml:space="preserve"> </w:t>
      </w:r>
      <w:r w:rsidRPr="0052729A">
        <w:rPr>
          <w:rFonts w:ascii="Times" w:hAnsi="Times" w:cs="AdvPTimes"/>
        </w:rPr>
        <w:t>(Nikon, Tokyo, Japan). Larval developmental stage and shell</w:t>
      </w:r>
      <w:r w:rsidR="00DB3ADB" w:rsidRPr="0052729A">
        <w:rPr>
          <w:rFonts w:ascii="Times" w:hAnsi="Times" w:cs="AdvPTimes"/>
        </w:rPr>
        <w:t xml:space="preserve"> presence were determined at 20x</w:t>
      </w:r>
      <w:r w:rsidRPr="0052729A">
        <w:rPr>
          <w:rFonts w:ascii="Times" w:hAnsi="Times" w:cs="AdvPTimes"/>
        </w:rPr>
        <w:t xml:space="preserve"> magnification using an inverted microscope and double polarized light. Larvae were scored as calcified on day 1 post-fertilization if calcified shell was observed at the hinge (Fig. </w:t>
      </w:r>
      <w:r w:rsidR="00426D9F" w:rsidRPr="0052729A">
        <w:rPr>
          <w:rFonts w:ascii="Times" w:hAnsi="Times" w:cs="AdvPTimes"/>
        </w:rPr>
        <w:t>I.</w:t>
      </w:r>
      <w:r w:rsidRPr="0052729A">
        <w:rPr>
          <w:rFonts w:ascii="Times" w:hAnsi="Times" w:cs="AdvPTimes"/>
        </w:rPr>
        <w:t xml:space="preserve">1a). On day 3 post-fertilization, larvae were classified as fully calcified if polarized light produced a ‘‘Maltese cross’’ in the larval shell (Fig. </w:t>
      </w:r>
      <w:r w:rsidR="00426D9F" w:rsidRPr="0052729A">
        <w:rPr>
          <w:rFonts w:ascii="Times" w:hAnsi="Times" w:cs="AdvPTimes"/>
        </w:rPr>
        <w:t>I.</w:t>
      </w:r>
      <w:r w:rsidRPr="0052729A">
        <w:rPr>
          <w:rFonts w:ascii="Times" w:hAnsi="Times" w:cs="AdvPTimes"/>
        </w:rPr>
        <w:t>1b; LaBarbera 1974).</w:t>
      </w:r>
    </w:p>
    <w:p w14:paraId="764ABEFE" w14:textId="77777777" w:rsidR="00E01B09" w:rsidRDefault="00E01B09" w:rsidP="00E01B09">
      <w:pPr>
        <w:pStyle w:val="Heading3"/>
      </w:pPr>
      <w:bookmarkStart w:id="21" w:name="_Toc257278775"/>
      <w:r>
        <w:t>Carbonate chemistry</w:t>
      </w:r>
      <w:bookmarkEnd w:id="21"/>
    </w:p>
    <w:p w14:paraId="3DBD259B" w14:textId="5A4338C8" w:rsidR="00650BE8" w:rsidRPr="0052729A" w:rsidRDefault="00C44DB0"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Salinity was measured with a conductivity meter (Hach</w:t>
      </w:r>
      <w:r w:rsidR="00650BE8" w:rsidRPr="0052729A">
        <w:rPr>
          <w:rFonts w:ascii="Times" w:hAnsi="Times" w:cs="AdvPTimes"/>
        </w:rPr>
        <w:t xml:space="preserve"> </w:t>
      </w:r>
      <w:r w:rsidRPr="0052729A">
        <w:rPr>
          <w:rFonts w:ascii="Times" w:hAnsi="Times" w:cs="AdvPTimes"/>
        </w:rPr>
        <w:t>sensION5; Loveland, Colorado, USA), and temperature</w:t>
      </w:r>
      <w:r w:rsidR="00650BE8" w:rsidRPr="0052729A">
        <w:rPr>
          <w:rFonts w:ascii="Times" w:hAnsi="Times" w:cs="AdvPTimes"/>
        </w:rPr>
        <w:t xml:space="preserve"> </w:t>
      </w:r>
      <w:r w:rsidRPr="0052729A">
        <w:rPr>
          <w:rFonts w:ascii="Times" w:hAnsi="Times" w:cs="AdvPTimes"/>
        </w:rPr>
        <w:t>was measured using a Fluke 1523 thermometer (Fluke,</w:t>
      </w:r>
      <w:r w:rsidR="00650BE8" w:rsidRPr="0052729A">
        <w:rPr>
          <w:rFonts w:ascii="Times" w:hAnsi="Times" w:cs="AdvPTimes"/>
        </w:rPr>
        <w:t xml:space="preserve"> </w:t>
      </w:r>
      <w:r w:rsidRPr="0052729A">
        <w:rPr>
          <w:rFonts w:ascii="Times" w:hAnsi="Times" w:cs="AdvPTimes"/>
        </w:rPr>
        <w:t>Everett, Washington, USA). Seawater pH entering the</w:t>
      </w:r>
      <w:r w:rsidR="00650BE8" w:rsidRPr="0052729A">
        <w:rPr>
          <w:rFonts w:ascii="Times" w:hAnsi="Times" w:cs="AdvPTimes"/>
        </w:rPr>
        <w:t xml:space="preserve"> </w:t>
      </w:r>
      <w:r w:rsidRPr="0052729A">
        <w:rPr>
          <w:rFonts w:ascii="Times" w:hAnsi="Times" w:cs="AdvPTimes"/>
        </w:rPr>
        <w:t>microcosms was measured daily using the spectrophotometric technique outlined in SOP 6b by Dickson</w:t>
      </w:r>
      <w:r w:rsidR="00650BE8" w:rsidRPr="0052729A">
        <w:rPr>
          <w:rFonts w:ascii="Times" w:hAnsi="Times" w:cs="AdvPTimes"/>
        </w:rPr>
        <w:t xml:space="preserve"> </w:t>
      </w:r>
      <w:r w:rsidRPr="0052729A">
        <w:rPr>
          <w:rFonts w:ascii="Times" w:hAnsi="Times" w:cs="AdvPTimes"/>
        </w:rPr>
        <w:t>et al. (2007) to confirm pH measurements from the Durafet</w:t>
      </w:r>
      <w:r w:rsidR="00650BE8" w:rsidRPr="0052729A">
        <w:rPr>
          <w:rFonts w:ascii="Times" w:hAnsi="Times" w:cs="AdvPTimes"/>
        </w:rPr>
        <w:t xml:space="preserve"> </w:t>
      </w:r>
      <w:r w:rsidRPr="0052729A">
        <w:rPr>
          <w:rFonts w:ascii="Times" w:hAnsi="Times" w:cs="AdvPTimes"/>
        </w:rPr>
        <w:t>probe. When any discrepancies were observed, the Durafet</w:t>
      </w:r>
      <w:r w:rsidR="00650BE8" w:rsidRPr="0052729A">
        <w:rPr>
          <w:rFonts w:ascii="Times" w:hAnsi="Times" w:cs="AdvPTimes"/>
        </w:rPr>
        <w:t xml:space="preserve"> </w:t>
      </w:r>
      <w:r w:rsidRPr="0052729A">
        <w:rPr>
          <w:rFonts w:ascii="Times" w:hAnsi="Times" w:cs="AdvPTimes"/>
        </w:rPr>
        <w:t>probe was recalibrated. Seawater pH measurements were</w:t>
      </w:r>
      <w:r w:rsidR="00650BE8" w:rsidRPr="0052729A">
        <w:rPr>
          <w:rFonts w:ascii="Times" w:hAnsi="Times" w:cs="AdvPTimes"/>
        </w:rPr>
        <w:t xml:space="preserve"> </w:t>
      </w:r>
      <w:r w:rsidRPr="0052729A">
        <w:rPr>
          <w:rFonts w:ascii="Times" w:hAnsi="Times" w:cs="AdvPTimes"/>
        </w:rPr>
        <w:t>taken from two microcosms per treatment on days 0, 1, and</w:t>
      </w:r>
      <w:r w:rsidR="00650BE8" w:rsidRPr="0052729A">
        <w:rPr>
          <w:rFonts w:ascii="Times" w:hAnsi="Times" w:cs="AdvPTimes"/>
        </w:rPr>
        <w:t xml:space="preserve"> </w:t>
      </w:r>
      <w:r w:rsidRPr="0052729A">
        <w:rPr>
          <w:rFonts w:ascii="Times" w:hAnsi="Times" w:cs="AdvPTimes"/>
        </w:rPr>
        <w:t>3. Final pH values reported here have been corrected for</w:t>
      </w:r>
      <w:r w:rsidR="00650BE8" w:rsidRPr="0052729A">
        <w:rPr>
          <w:rFonts w:ascii="Times" w:hAnsi="Times" w:cs="AdvPTimes"/>
        </w:rPr>
        <w:t xml:space="preserve"> </w:t>
      </w:r>
      <w:r w:rsidRPr="0052729A">
        <w:rPr>
          <w:rFonts w:ascii="Times" w:hAnsi="Times" w:cs="AdvPTimes"/>
        </w:rPr>
        <w:t>dye addition and temperature. Total alkalinity (A</w:t>
      </w:r>
      <w:r w:rsidRPr="0052729A">
        <w:rPr>
          <w:rFonts w:ascii="Times" w:hAnsi="Times" w:cs="AdvPTimes"/>
          <w:vertAlign w:val="subscript"/>
        </w:rPr>
        <w:t>T</w:t>
      </w:r>
      <w:r w:rsidRPr="0052729A">
        <w:rPr>
          <w:rFonts w:ascii="Times" w:hAnsi="Times" w:cs="AdvPTimes"/>
        </w:rPr>
        <w:t>) was</w:t>
      </w:r>
      <w:r w:rsidR="00650BE8" w:rsidRPr="0052729A">
        <w:rPr>
          <w:rFonts w:ascii="Times" w:hAnsi="Times" w:cs="AdvPTimes"/>
        </w:rPr>
        <w:t xml:space="preserve"> </w:t>
      </w:r>
      <w:r w:rsidRPr="0052729A">
        <w:rPr>
          <w:rFonts w:ascii="Times" w:hAnsi="Times" w:cs="AdvPTimes"/>
        </w:rPr>
        <w:t>measured following the open cell titration of SOP 3b</w:t>
      </w:r>
      <w:r w:rsidR="00650BE8" w:rsidRPr="0052729A">
        <w:rPr>
          <w:rFonts w:ascii="Times" w:hAnsi="Times" w:cs="AdvPTimes"/>
        </w:rPr>
        <w:t xml:space="preserve"> </w:t>
      </w:r>
      <w:r w:rsidRPr="0052729A">
        <w:rPr>
          <w:rFonts w:ascii="Times" w:hAnsi="Times" w:cs="AdvPTimes"/>
        </w:rPr>
        <w:t>(Dickson et al. 2007). Samples for A</w:t>
      </w:r>
      <w:r w:rsidRPr="0052729A">
        <w:rPr>
          <w:rFonts w:ascii="Times" w:hAnsi="Times" w:cs="AdvPTimes"/>
          <w:vertAlign w:val="subscript"/>
        </w:rPr>
        <w:t>T</w:t>
      </w:r>
      <w:r w:rsidRPr="0052729A">
        <w:rPr>
          <w:rFonts w:ascii="Times" w:hAnsi="Times" w:cs="AdvPTimes"/>
        </w:rPr>
        <w:t xml:space="preserve"> were taken from</w:t>
      </w:r>
      <w:r w:rsidR="00650BE8" w:rsidRPr="0052729A">
        <w:rPr>
          <w:rFonts w:ascii="Times" w:hAnsi="Times" w:cs="AdvPTimes"/>
        </w:rPr>
        <w:t xml:space="preserve"> </w:t>
      </w:r>
      <w:r w:rsidRPr="0052729A">
        <w:rPr>
          <w:rFonts w:ascii="Times" w:hAnsi="Times" w:cs="AdvPTimes"/>
        </w:rPr>
        <w:t>incoming water and from two microcosms in each treatment</w:t>
      </w:r>
      <w:r w:rsidR="00650BE8" w:rsidRPr="0052729A">
        <w:rPr>
          <w:rFonts w:ascii="Times" w:hAnsi="Times" w:cs="AdvPTimes"/>
        </w:rPr>
        <w:t xml:space="preserve"> </w:t>
      </w:r>
      <w:r w:rsidRPr="0052729A">
        <w:rPr>
          <w:rFonts w:ascii="Times" w:hAnsi="Times" w:cs="AdvPTimes"/>
        </w:rPr>
        <w:t>on days 0, 2, and 3. CO</w:t>
      </w:r>
      <w:r w:rsidRPr="0052729A">
        <w:rPr>
          <w:rFonts w:ascii="Times" w:hAnsi="Times" w:cs="AdvPTimes"/>
          <w:vertAlign w:val="subscript"/>
        </w:rPr>
        <w:t>2</w:t>
      </w:r>
      <w:r w:rsidRPr="0052729A">
        <w:rPr>
          <w:rFonts w:ascii="Times" w:hAnsi="Times" w:cs="AdvPTimes"/>
        </w:rPr>
        <w:t>SYS (Robbins et al. 2010)</w:t>
      </w:r>
      <w:r w:rsidR="00650BE8" w:rsidRPr="0052729A">
        <w:rPr>
          <w:rFonts w:ascii="Times" w:hAnsi="Times" w:cs="AdvPTimes"/>
        </w:rPr>
        <w:t xml:space="preserve"> was used to calculate calci</w:t>
      </w:r>
      <w:r w:rsidR="00DB3ADB" w:rsidRPr="0052729A">
        <w:rPr>
          <w:rFonts w:ascii="Times" w:hAnsi="Times" w:cs="AdvPTimes"/>
        </w:rPr>
        <w:t>um carbonate saturation state (Ω</w:t>
      </w:r>
      <w:r w:rsidR="00650BE8" w:rsidRPr="0052729A">
        <w:rPr>
          <w:rFonts w:ascii="Times" w:hAnsi="Times" w:cs="AdvPTimes"/>
        </w:rPr>
        <w:t xml:space="preserve">) of aragonite and calcite, carbonate ion concentration, and </w:t>
      </w:r>
      <w:r w:rsidR="00650BE8" w:rsidRPr="0052729A">
        <w:rPr>
          <w:rFonts w:ascii="Times" w:hAnsi="Times" w:cs="AdvPTimes"/>
          <w:i/>
        </w:rPr>
        <w:t>p</w:t>
      </w:r>
      <w:r w:rsidR="00650BE8" w:rsidRPr="0052729A">
        <w:rPr>
          <w:rFonts w:ascii="Times" w:hAnsi="Times" w:cs="AdvPTimes"/>
        </w:rPr>
        <w:t>CO</w:t>
      </w:r>
      <w:r w:rsidR="00650BE8" w:rsidRPr="0052729A">
        <w:rPr>
          <w:rFonts w:ascii="Times" w:hAnsi="Times" w:cs="AdvPTimes"/>
          <w:vertAlign w:val="subscript"/>
        </w:rPr>
        <w:t>2</w:t>
      </w:r>
      <w:r w:rsidR="00650BE8" w:rsidRPr="0052729A">
        <w:rPr>
          <w:rFonts w:ascii="Times" w:hAnsi="Times" w:cs="AdvPTimes"/>
        </w:rPr>
        <w:t xml:space="preserve"> with A</w:t>
      </w:r>
      <w:r w:rsidR="00650BE8" w:rsidRPr="0052729A">
        <w:rPr>
          <w:rFonts w:ascii="Times" w:hAnsi="Times" w:cs="AdvPTimes"/>
          <w:vertAlign w:val="subscript"/>
        </w:rPr>
        <w:t>T</w:t>
      </w:r>
      <w:r w:rsidR="00650BE8" w:rsidRPr="0052729A">
        <w:rPr>
          <w:rFonts w:ascii="Times" w:hAnsi="Times" w:cs="AdvPTimes"/>
        </w:rPr>
        <w:t xml:space="preserve"> and pH as inputs using the following constants: Lueker et al. (2000) for CO</w:t>
      </w:r>
      <w:r w:rsidR="00650BE8" w:rsidRPr="0052729A">
        <w:rPr>
          <w:rFonts w:ascii="Times" w:hAnsi="Times" w:cs="AdvPTimes"/>
          <w:vertAlign w:val="subscript"/>
        </w:rPr>
        <w:t>2</w:t>
      </w:r>
      <w:r w:rsidR="00650BE8" w:rsidRPr="0052729A">
        <w:rPr>
          <w:rFonts w:ascii="Times" w:hAnsi="Times" w:cs="AdvPTimes"/>
        </w:rPr>
        <w:t xml:space="preserve"> constants; Dickson (1990) for KHSO</w:t>
      </w:r>
      <w:r w:rsidR="00650BE8" w:rsidRPr="0052729A">
        <w:rPr>
          <w:rFonts w:ascii="Times" w:hAnsi="Times" w:cs="AdvPTimes"/>
          <w:vertAlign w:val="subscript"/>
        </w:rPr>
        <w:t>4</w:t>
      </w:r>
      <w:r w:rsidR="00650BE8" w:rsidRPr="0052729A">
        <w:rPr>
          <w:rFonts w:ascii="Times" w:hAnsi="Times" w:cs="AdvPTimes"/>
        </w:rPr>
        <w:t>, total scale (mol kg</w:t>
      </w:r>
      <w:r w:rsidR="00650BE8" w:rsidRPr="0052729A">
        <w:rPr>
          <w:rFonts w:ascii="Times" w:hAnsi="Times" w:cs="AdvPTimes"/>
          <w:vertAlign w:val="superscript"/>
        </w:rPr>
        <w:t>-1</w:t>
      </w:r>
      <w:r w:rsidR="00650BE8" w:rsidRPr="0052729A">
        <w:rPr>
          <w:rFonts w:ascii="Times" w:hAnsi="Times" w:cs="AdvPTimes"/>
        </w:rPr>
        <w:t xml:space="preserve"> SW) for pH scale; and Wanninkhof (1992) for air–sea flux.</w:t>
      </w:r>
    </w:p>
    <w:p w14:paraId="31D3241B" w14:textId="77777777" w:rsidR="00E01B09" w:rsidRPr="0052729A" w:rsidRDefault="00E01B09" w:rsidP="00E01B09">
      <w:pPr>
        <w:pStyle w:val="Heading3"/>
      </w:pPr>
      <w:bookmarkStart w:id="22" w:name="_Toc257278776"/>
      <w:r w:rsidRPr="0052729A">
        <w:t>Statistics</w:t>
      </w:r>
      <w:bookmarkEnd w:id="22"/>
    </w:p>
    <w:p w14:paraId="0B6BECFE" w14:textId="0837999F" w:rsidR="00650BE8" w:rsidRPr="0052729A" w:rsidRDefault="00650BE8"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Differences in larval size and mortality across treatments were examined using a two-way ANOVA with fixed effects of treatment and day followed by Tukey’s Honestly Significant Difference test (Tukey’s HSD). A one-way ANOVA was also used to test for differences in larval size among treatments using the combined fixed factor of daytreatment.  Larval calcification and developmental stage were compared among treatments using a generalized linear model (GLM). Binomial error distributions were used for GLM analyses. The occurrence of a developmental delay was assessed by fitting the regression of shell height on hinge length to a linear model and testing for differences</w:t>
      </w:r>
    </w:p>
    <w:p w14:paraId="57E4B575" w14:textId="6B626BDF" w:rsidR="00650BE8" w:rsidRPr="0052729A" w:rsidRDefault="00650BE8" w:rsidP="00426D9F">
      <w:pPr>
        <w:widowControl w:val="0"/>
        <w:autoSpaceDE w:val="0"/>
        <w:autoSpaceDN w:val="0"/>
        <w:adjustRightInd w:val="0"/>
        <w:spacing w:line="360" w:lineRule="auto"/>
        <w:rPr>
          <w:rFonts w:ascii="Times" w:hAnsi="Times" w:cs="AdvPTimes"/>
        </w:rPr>
      </w:pPr>
      <w:r w:rsidRPr="0052729A">
        <w:rPr>
          <w:rFonts w:ascii="Times" w:hAnsi="Times" w:cs="AdvPTimes"/>
        </w:rPr>
        <w:t>in the slopes of these lines across treatments. Developmental delay would be demonstrated if the larvae maintained the same allometry across treatments (the slopes of the lines were the same) but were different in size. At least two replicates within treatments and time points were used for all statistical analyses. All analyses were performed in R (R Development Core Team 2011).</w:t>
      </w:r>
    </w:p>
    <w:p w14:paraId="0C1CFEBF" w14:textId="77777777" w:rsidR="00C02D9B" w:rsidRDefault="00C02D9B" w:rsidP="00C02D9B">
      <w:pPr>
        <w:pStyle w:val="Heading2"/>
      </w:pPr>
      <w:bookmarkStart w:id="23" w:name="_Toc257278777"/>
      <w:r>
        <w:t>Results</w:t>
      </w:r>
      <w:bookmarkEnd w:id="23"/>
    </w:p>
    <w:p w14:paraId="4F659E2F" w14:textId="77777777" w:rsidR="00E01B09" w:rsidRDefault="00E01B09" w:rsidP="00E01B09">
      <w:pPr>
        <w:pStyle w:val="Heading3"/>
      </w:pPr>
      <w:bookmarkStart w:id="24" w:name="_Toc257278778"/>
      <w:r>
        <w:t>Carbonate chemistry</w:t>
      </w:r>
      <w:bookmarkEnd w:id="24"/>
    </w:p>
    <w:p w14:paraId="058B22C1" w14:textId="77777777" w:rsidR="005643FD" w:rsidRPr="005643FD" w:rsidRDefault="005643FD" w:rsidP="005643FD"/>
    <w:p w14:paraId="37CA7284" w14:textId="5E63A5CE" w:rsidR="0059047D" w:rsidRDefault="00650BE8" w:rsidP="008014F1">
      <w:pPr>
        <w:widowControl w:val="0"/>
        <w:autoSpaceDE w:val="0"/>
        <w:autoSpaceDN w:val="0"/>
        <w:adjustRightInd w:val="0"/>
        <w:spacing w:line="360" w:lineRule="auto"/>
        <w:ind w:firstLine="720"/>
        <w:rPr>
          <w:rFonts w:ascii="Times" w:hAnsi="Times" w:cs="AdvPTimes"/>
        </w:rPr>
      </w:pPr>
      <w:r w:rsidRPr="0052729A">
        <w:rPr>
          <w:rFonts w:ascii="Times" w:hAnsi="Times" w:cs="AdvPTimes"/>
        </w:rPr>
        <w:t>Throughout the experiment, seawater pH differed across treatments and A</w:t>
      </w:r>
      <w:r w:rsidRPr="0052729A">
        <w:rPr>
          <w:rFonts w:ascii="Times" w:hAnsi="Times" w:cs="AdvPTimes"/>
          <w:vertAlign w:val="subscript"/>
        </w:rPr>
        <w:t>T</w:t>
      </w:r>
      <w:r w:rsidRPr="0052729A">
        <w:rPr>
          <w:rFonts w:ascii="Times" w:hAnsi="Times" w:cs="AdvPTimes"/>
        </w:rPr>
        <w:t xml:space="preserve"> varied slightly but to the same degree across treatments (Table </w:t>
      </w:r>
      <w:r w:rsidR="00A14DF5" w:rsidRPr="0052729A">
        <w:rPr>
          <w:rFonts w:ascii="Times" w:hAnsi="Times" w:cs="AdvPTimes"/>
        </w:rPr>
        <w:t>I.</w:t>
      </w:r>
      <w:r w:rsidRPr="0052729A">
        <w:rPr>
          <w:rFonts w:ascii="Times" w:hAnsi="Times" w:cs="AdvPTimes"/>
        </w:rPr>
        <w:t xml:space="preserve">1). Mean seawater pH was consistent within but varied among treatments (Fig. </w:t>
      </w:r>
      <w:r w:rsidR="00A14DF5" w:rsidRPr="0052729A">
        <w:rPr>
          <w:rFonts w:ascii="Times" w:hAnsi="Times" w:cs="AdvPTimes"/>
        </w:rPr>
        <w:t>I.</w:t>
      </w:r>
      <w:r w:rsidRPr="0052729A">
        <w:rPr>
          <w:rFonts w:ascii="Times" w:hAnsi="Times" w:cs="AdvPTimes"/>
        </w:rPr>
        <w:t xml:space="preserve">2). Mean pH (±standard deviation), as measured by the Durafet pH probes (Fig. </w:t>
      </w:r>
      <w:r w:rsidR="00A14DF5" w:rsidRPr="0052729A">
        <w:rPr>
          <w:rFonts w:ascii="Times" w:hAnsi="Times" w:cs="AdvPTimes"/>
        </w:rPr>
        <w:t>I.</w:t>
      </w:r>
      <w:r w:rsidRPr="0052729A">
        <w:rPr>
          <w:rFonts w:ascii="Times" w:hAnsi="Times" w:cs="AdvPTimes"/>
        </w:rPr>
        <w:t>2), was 7.99 ± 0.04 in the Ambient treatment, 7.75 ± 0.06 in the MidCO</w:t>
      </w:r>
      <w:r w:rsidRPr="0052729A">
        <w:rPr>
          <w:rFonts w:ascii="Times" w:hAnsi="Times" w:cs="AdvPTimes"/>
          <w:vertAlign w:val="subscript"/>
        </w:rPr>
        <w:t>2</w:t>
      </w:r>
      <w:r w:rsidRPr="0052729A">
        <w:rPr>
          <w:rFonts w:ascii="Times" w:hAnsi="Times" w:cs="AdvPTimes"/>
        </w:rPr>
        <w:t xml:space="preserve"> treatment, and 7.66 ± 0.09 in the HighCO</w:t>
      </w:r>
      <w:r w:rsidRPr="0052729A">
        <w:rPr>
          <w:rFonts w:ascii="Times" w:hAnsi="Times" w:cs="AdvPTimes"/>
          <w:vertAlign w:val="subscript"/>
        </w:rPr>
        <w:t>2</w:t>
      </w:r>
      <w:r w:rsidRPr="0052729A">
        <w:rPr>
          <w:rFonts w:ascii="Times" w:hAnsi="Times" w:cs="AdvPTimes"/>
        </w:rPr>
        <w:t xml:space="preserve"> treatment. Aragonite and calcite saturation states were</w:t>
      </w:r>
      <w:r w:rsidR="00DB3ADB" w:rsidRPr="0052729A">
        <w:rPr>
          <w:rFonts w:ascii="Times" w:hAnsi="Times" w:cs="AdvPTimes"/>
        </w:rPr>
        <w:t xml:space="preserve"> &gt;</w:t>
      </w:r>
      <w:r w:rsidRPr="0052729A">
        <w:rPr>
          <w:rFonts w:ascii="Times" w:hAnsi="Times" w:cs="AdvPTimes"/>
        </w:rPr>
        <w:t>1.0 for the duration of the experiment, except in the HighCO</w:t>
      </w:r>
      <w:r w:rsidRPr="0052729A">
        <w:rPr>
          <w:rFonts w:ascii="Times" w:hAnsi="Times" w:cs="AdvPTimes"/>
          <w:vertAlign w:val="subscript"/>
        </w:rPr>
        <w:t>2</w:t>
      </w:r>
      <w:r w:rsidRPr="0052729A">
        <w:rPr>
          <w:rFonts w:ascii="Times" w:hAnsi="Times" w:cs="AdvPTimes"/>
        </w:rPr>
        <w:t xml:space="preserve"> treatment on days 1 and 2 (Table </w:t>
      </w:r>
      <w:r w:rsidR="00A14DF5" w:rsidRPr="0052729A">
        <w:rPr>
          <w:rFonts w:ascii="Times" w:hAnsi="Times" w:cs="AdvPTimes"/>
        </w:rPr>
        <w:t>I.</w:t>
      </w:r>
      <w:r w:rsidRPr="0052729A">
        <w:rPr>
          <w:rFonts w:ascii="Times" w:hAnsi="Times" w:cs="AdvPTimes"/>
        </w:rPr>
        <w:t>1).  Carbonate ion concentration was lowest in the HighCO</w:t>
      </w:r>
      <w:r w:rsidRPr="0052729A">
        <w:rPr>
          <w:rFonts w:ascii="Times" w:hAnsi="Times" w:cs="AdvPTimes"/>
          <w:vertAlign w:val="subscript"/>
        </w:rPr>
        <w:t>2</w:t>
      </w:r>
      <w:r w:rsidRPr="0052729A">
        <w:rPr>
          <w:rFonts w:ascii="Times" w:hAnsi="Times" w:cs="AdvPTimes"/>
        </w:rPr>
        <w:t xml:space="preserve"> treatment</w:t>
      </w:r>
      <w:r w:rsidR="00DB3ADB" w:rsidRPr="0052729A">
        <w:rPr>
          <w:rFonts w:ascii="Times" w:hAnsi="Times" w:cs="AdvPTimes"/>
        </w:rPr>
        <w:t xml:space="preserve"> (average ± SD of 61.15 ± 4.05 μ</w:t>
      </w:r>
      <w:r w:rsidRPr="0052729A">
        <w:rPr>
          <w:rFonts w:ascii="Times" w:hAnsi="Times" w:cs="AdvPTimes"/>
        </w:rPr>
        <w:t>mol kg</w:t>
      </w:r>
      <w:r w:rsidRPr="0052729A">
        <w:rPr>
          <w:rFonts w:ascii="Times" w:hAnsi="Times" w:cs="AdvPTimes"/>
          <w:vertAlign w:val="superscript"/>
        </w:rPr>
        <w:t>-1</w:t>
      </w:r>
      <w:r w:rsidRPr="0052729A">
        <w:rPr>
          <w:rFonts w:ascii="Times" w:hAnsi="Times" w:cs="AdvPTimes"/>
        </w:rPr>
        <w:t xml:space="preserve"> seawater, N = 4, Table </w:t>
      </w:r>
      <w:r w:rsidR="00A14DF5" w:rsidRPr="0052729A">
        <w:rPr>
          <w:rFonts w:ascii="Times" w:hAnsi="Times" w:cs="AdvPTimes"/>
        </w:rPr>
        <w:t>I.</w:t>
      </w:r>
      <w:r w:rsidRPr="0052729A">
        <w:rPr>
          <w:rFonts w:ascii="Times" w:hAnsi="Times" w:cs="AdvPTimes"/>
        </w:rPr>
        <w:t>1), intermediate in MidCO</w:t>
      </w:r>
      <w:r w:rsidRPr="0052729A">
        <w:rPr>
          <w:rFonts w:ascii="Times" w:hAnsi="Times" w:cs="AdvPTimes"/>
          <w:vertAlign w:val="subscript"/>
        </w:rPr>
        <w:t>2</w:t>
      </w:r>
      <w:r w:rsidRPr="0052729A">
        <w:rPr>
          <w:rFonts w:ascii="Times" w:hAnsi="Times" w:cs="AdvPTimes"/>
        </w:rPr>
        <w:t xml:space="preserve"> </w:t>
      </w:r>
      <w:r w:rsidR="00DB3ADB" w:rsidRPr="0052729A">
        <w:rPr>
          <w:rFonts w:ascii="Times" w:hAnsi="Times" w:cs="AdvPTimes"/>
        </w:rPr>
        <w:t>(74.05 ± 6.43 μ</w:t>
      </w:r>
      <w:r w:rsidRPr="0052729A">
        <w:rPr>
          <w:rFonts w:ascii="Times" w:hAnsi="Times" w:cs="AdvPTimes"/>
        </w:rPr>
        <w:t>mol kg</w:t>
      </w:r>
      <w:r w:rsidRPr="0052729A">
        <w:rPr>
          <w:rFonts w:ascii="Times" w:hAnsi="Times" w:cs="AdvPTimes"/>
          <w:vertAlign w:val="superscript"/>
        </w:rPr>
        <w:t>-1</w:t>
      </w:r>
      <w:r w:rsidRPr="0052729A">
        <w:rPr>
          <w:rFonts w:ascii="Times" w:hAnsi="Times" w:cs="AdvPTimes"/>
        </w:rPr>
        <w:t>, N = 4), and highest in the Amb</w:t>
      </w:r>
      <w:r w:rsidR="00DB3ADB" w:rsidRPr="0052729A">
        <w:rPr>
          <w:rFonts w:ascii="Times" w:hAnsi="Times" w:cs="AdvPTimes"/>
        </w:rPr>
        <w:t>ient treatment (120.24 ± 11.52 μ</w:t>
      </w:r>
      <w:r w:rsidRPr="0052729A">
        <w:rPr>
          <w:rFonts w:ascii="Times" w:hAnsi="Times" w:cs="AdvPTimes"/>
        </w:rPr>
        <w:t>mol kg</w:t>
      </w:r>
      <w:r w:rsidRPr="0052729A">
        <w:rPr>
          <w:rFonts w:ascii="Times" w:hAnsi="Times" w:cs="AdvPTimes"/>
          <w:vertAlign w:val="superscript"/>
        </w:rPr>
        <w:t>-1</w:t>
      </w:r>
      <w:r w:rsidRPr="0052729A">
        <w:rPr>
          <w:rFonts w:ascii="Times" w:hAnsi="Times" w:cs="AdvPTimes"/>
        </w:rPr>
        <w:t>, N = 4).  Partial pressure of CO</w:t>
      </w:r>
      <w:r w:rsidRPr="0052729A">
        <w:rPr>
          <w:rFonts w:ascii="Times" w:hAnsi="Times" w:cs="AdvPTimes"/>
          <w:vertAlign w:val="subscript"/>
        </w:rPr>
        <w:t>2</w:t>
      </w:r>
      <w:r w:rsidRPr="0052729A">
        <w:rPr>
          <w:rFonts w:ascii="Times" w:hAnsi="Times" w:cs="AdvPTimes"/>
        </w:rPr>
        <w:t xml:space="preserve"> in the seawater averaged </w:t>
      </w:r>
      <w:r w:rsidR="005B03F6" w:rsidRPr="0052729A">
        <w:rPr>
          <w:rFonts w:ascii="Times" w:hAnsi="Times" w:cs="AdvPTimes"/>
        </w:rPr>
        <w:t>468 ± 63 μ</w:t>
      </w:r>
      <w:r w:rsidRPr="0052729A">
        <w:rPr>
          <w:rFonts w:ascii="Times" w:hAnsi="Times" w:cs="AdvPTimes"/>
        </w:rPr>
        <w:t>atm in the Amb</w:t>
      </w:r>
      <w:r w:rsidR="005B03F6" w:rsidRPr="0052729A">
        <w:rPr>
          <w:rFonts w:ascii="Times" w:hAnsi="Times" w:cs="AdvPTimes"/>
        </w:rPr>
        <w:t>ient treatment, 847 ± 67 μ</w:t>
      </w:r>
      <w:r w:rsidRPr="0052729A">
        <w:rPr>
          <w:rFonts w:ascii="Times" w:hAnsi="Times" w:cs="AdvPTimes"/>
        </w:rPr>
        <w:t>atm in the MidCO</w:t>
      </w:r>
      <w:r w:rsidRPr="0052729A">
        <w:rPr>
          <w:rFonts w:ascii="Times" w:hAnsi="Times" w:cs="AdvPTimes"/>
          <w:vertAlign w:val="subscript"/>
        </w:rPr>
        <w:t>2</w:t>
      </w:r>
      <w:r w:rsidR="005B03F6" w:rsidRPr="0052729A">
        <w:rPr>
          <w:rFonts w:ascii="Times" w:hAnsi="Times" w:cs="AdvPTimes"/>
        </w:rPr>
        <w:t xml:space="preserve"> treatment, and 1,065 ± 58 μ</w:t>
      </w:r>
      <w:r w:rsidRPr="0052729A">
        <w:rPr>
          <w:rFonts w:ascii="Times" w:hAnsi="Times" w:cs="AdvPTimes"/>
        </w:rPr>
        <w:t>atm in the HighCO</w:t>
      </w:r>
      <w:r w:rsidRPr="0052729A">
        <w:rPr>
          <w:rFonts w:ascii="Times" w:hAnsi="Times" w:cs="AdvPTimes"/>
          <w:vertAlign w:val="subscript"/>
        </w:rPr>
        <w:t>2</w:t>
      </w:r>
      <w:r w:rsidRPr="0052729A">
        <w:rPr>
          <w:rFonts w:ascii="Times" w:hAnsi="Times" w:cs="AdvPTimes"/>
        </w:rPr>
        <w:t xml:space="preserve"> treatment.</w:t>
      </w:r>
    </w:p>
    <w:p w14:paraId="08723EC7" w14:textId="77777777" w:rsidR="00E01B09" w:rsidRDefault="00E01B09" w:rsidP="00E01B09">
      <w:pPr>
        <w:pStyle w:val="Heading3"/>
      </w:pPr>
      <w:bookmarkStart w:id="25" w:name="_Toc257278779"/>
      <w:r>
        <w:t>Size, development, and calcification</w:t>
      </w:r>
      <w:bookmarkEnd w:id="25"/>
    </w:p>
    <w:p w14:paraId="19B62F2A" w14:textId="4E91B9AE" w:rsidR="00650BE8" w:rsidRPr="00650BE8" w:rsidRDefault="00650BE8" w:rsidP="00426D9F">
      <w:pPr>
        <w:widowControl w:val="0"/>
        <w:autoSpaceDE w:val="0"/>
        <w:autoSpaceDN w:val="0"/>
        <w:adjustRightInd w:val="0"/>
        <w:spacing w:line="360" w:lineRule="auto"/>
        <w:ind w:firstLine="720"/>
        <w:rPr>
          <w:rFonts w:ascii="Times" w:hAnsi="Times" w:cs="AdvPTimes"/>
        </w:rPr>
      </w:pPr>
      <w:r w:rsidRPr="00650BE8">
        <w:rPr>
          <w:rFonts w:ascii="Times" w:hAnsi="Times" w:cs="AdvPTimes"/>
        </w:rPr>
        <w:t>Survival was near 100 % in all treatments on day 1 (Ambient = 99.0 %, MidCO</w:t>
      </w:r>
      <w:r w:rsidRPr="005B03F6">
        <w:rPr>
          <w:rFonts w:ascii="Times" w:hAnsi="Times" w:cs="AdvPTimes"/>
          <w:vertAlign w:val="subscript"/>
        </w:rPr>
        <w:t>2</w:t>
      </w:r>
      <w:r w:rsidRPr="00650BE8">
        <w:rPr>
          <w:rFonts w:ascii="Times" w:hAnsi="Times" w:cs="AdvPTimes"/>
        </w:rPr>
        <w:t xml:space="preserve"> and HighCO</w:t>
      </w:r>
      <w:r w:rsidRPr="005B03F6">
        <w:rPr>
          <w:rFonts w:ascii="Times" w:hAnsi="Times" w:cs="AdvPTimes"/>
          <w:vertAlign w:val="subscript"/>
        </w:rPr>
        <w:t>2</w:t>
      </w:r>
      <w:r w:rsidRPr="00650BE8">
        <w:rPr>
          <w:rFonts w:ascii="Times" w:hAnsi="Times" w:cs="AdvPTimes"/>
        </w:rPr>
        <w:t xml:space="preserve"> = 99.7 %). On day 3, survival was 92.9 % in the Ambient treatment</w:t>
      </w:r>
    </w:p>
    <w:p w14:paraId="032D5240" w14:textId="75429634" w:rsidR="00650BE8" w:rsidRPr="00650BE8" w:rsidRDefault="00650BE8" w:rsidP="00426D9F">
      <w:pPr>
        <w:widowControl w:val="0"/>
        <w:autoSpaceDE w:val="0"/>
        <w:autoSpaceDN w:val="0"/>
        <w:adjustRightInd w:val="0"/>
        <w:spacing w:line="360" w:lineRule="auto"/>
        <w:rPr>
          <w:rFonts w:ascii="Times" w:hAnsi="Times" w:cs="AdvPTimes"/>
        </w:rPr>
      </w:pPr>
      <w:r w:rsidRPr="00650BE8">
        <w:rPr>
          <w:rFonts w:ascii="Times" w:hAnsi="Times" w:cs="AdvPTimes"/>
        </w:rPr>
        <w:t>and was approximately 88.6 % in the MidCO</w:t>
      </w:r>
      <w:r w:rsidRPr="005B03F6">
        <w:rPr>
          <w:rFonts w:ascii="Times" w:hAnsi="Times" w:cs="AdvPTimes"/>
          <w:vertAlign w:val="subscript"/>
        </w:rPr>
        <w:t>2</w:t>
      </w:r>
      <w:r w:rsidRPr="00650BE8">
        <w:rPr>
          <w:rFonts w:ascii="Times" w:hAnsi="Times" w:cs="AdvPTimes"/>
        </w:rPr>
        <w:t xml:space="preserve"> and 85.6 % in the HighCO</w:t>
      </w:r>
      <w:r w:rsidRPr="005B03F6">
        <w:rPr>
          <w:rFonts w:ascii="Times" w:hAnsi="Times" w:cs="AdvPTimes"/>
          <w:vertAlign w:val="subscript"/>
        </w:rPr>
        <w:t>2</w:t>
      </w:r>
      <w:r w:rsidRPr="00650BE8">
        <w:rPr>
          <w:rFonts w:ascii="Times" w:hAnsi="Times" w:cs="AdvPTimes"/>
        </w:rPr>
        <w:t xml:space="preserve"> treatment. Mortality was similar</w:t>
      </w:r>
      <w:r w:rsidR="005B03F6">
        <w:rPr>
          <w:rFonts w:ascii="Times" w:hAnsi="Times" w:cs="AdvPTimes"/>
        </w:rPr>
        <w:t xml:space="preserve"> across treatments (F = 0.59, P &gt; </w:t>
      </w:r>
      <w:r w:rsidRPr="00650BE8">
        <w:rPr>
          <w:rFonts w:ascii="Times" w:hAnsi="Times" w:cs="AdvPTimes"/>
        </w:rPr>
        <w:t>0.05) but dif</w:t>
      </w:r>
      <w:r w:rsidR="005B03F6">
        <w:rPr>
          <w:rFonts w:ascii="Times" w:hAnsi="Times" w:cs="AdvPTimes"/>
        </w:rPr>
        <w:t xml:space="preserve">ferent across days (F = 17.7, P &lt; </w:t>
      </w:r>
      <w:r w:rsidRPr="00650BE8">
        <w:rPr>
          <w:rFonts w:ascii="Times" w:hAnsi="Times" w:cs="AdvPTimes"/>
        </w:rPr>
        <w:t>0.05).</w:t>
      </w:r>
    </w:p>
    <w:p w14:paraId="5A283D17" w14:textId="3E9313FC" w:rsidR="0030116B" w:rsidRPr="008014F1" w:rsidRDefault="00650BE8" w:rsidP="008014F1">
      <w:pPr>
        <w:widowControl w:val="0"/>
        <w:autoSpaceDE w:val="0"/>
        <w:autoSpaceDN w:val="0"/>
        <w:adjustRightInd w:val="0"/>
        <w:spacing w:line="360" w:lineRule="auto"/>
        <w:ind w:firstLine="720"/>
        <w:rPr>
          <w:rFonts w:ascii="Times" w:hAnsi="Times" w:cs="AdvPTimes"/>
        </w:rPr>
      </w:pPr>
      <w:r w:rsidRPr="0052729A">
        <w:rPr>
          <w:rFonts w:ascii="Times" w:hAnsi="Times" w:cs="AdvPTimes"/>
        </w:rPr>
        <w:t>On day 1, a slightly greater proportion (0.977) of larvae at HighCO</w:t>
      </w:r>
      <w:r w:rsidRPr="0052729A">
        <w:rPr>
          <w:rFonts w:ascii="Times" w:hAnsi="Times" w:cs="AdvPTimes"/>
          <w:vertAlign w:val="subscript"/>
        </w:rPr>
        <w:t>2</w:t>
      </w:r>
      <w:r w:rsidRPr="0052729A">
        <w:rPr>
          <w:rFonts w:ascii="Times" w:hAnsi="Times" w:cs="AdvPTimes"/>
        </w:rPr>
        <w:t xml:space="preserve"> were at the D-hinge stage (compared with those that were still trocophores), but this difference was not significant (z value = 1.016, P = 0.310; data not shown). The proportion of larvae at the D-hinge stage on day 1 in the Ambient treatment was 0.875 and in MidCO</w:t>
      </w:r>
      <w:r w:rsidRPr="0052729A">
        <w:rPr>
          <w:rFonts w:ascii="Times" w:hAnsi="Times" w:cs="AdvPTimes"/>
          <w:vertAlign w:val="subscript"/>
        </w:rPr>
        <w:t>2</w:t>
      </w:r>
      <w:r w:rsidRPr="0052729A">
        <w:rPr>
          <w:rFonts w:ascii="Times" w:hAnsi="Times" w:cs="AdvPTimes"/>
        </w:rPr>
        <w:t xml:space="preserve"> was 0.833. Amount of larvae with shell was significantly different among treatments for days 1 and 3 post-fertilization.  Following 24 h of treatment (day 1), the proportion of larvae with shell present was inversely proportional to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Pr="0052729A">
        <w:rPr>
          <w:rFonts w:ascii="Times" w:hAnsi="Times" w:cs="AdvPTimes"/>
        </w:rPr>
        <w:t xml:space="preserve"> level with the greatest number of larvae with shell in the HighCO</w:t>
      </w:r>
      <w:r w:rsidRPr="0052729A">
        <w:rPr>
          <w:rFonts w:ascii="Times" w:hAnsi="Times" w:cs="AdvPTimes"/>
          <w:vertAlign w:val="subscript"/>
        </w:rPr>
        <w:t>2</w:t>
      </w:r>
      <w:r w:rsidRPr="0052729A">
        <w:rPr>
          <w:rFonts w:ascii="Times" w:hAnsi="Times" w:cs="AdvPTimes"/>
        </w:rPr>
        <w:t xml:space="preserve"> treatment (z value = 2.084, P = 0.0372, Fig. </w:t>
      </w:r>
      <w:r w:rsidR="00A14DF5" w:rsidRPr="0052729A">
        <w:rPr>
          <w:rFonts w:ascii="Times" w:hAnsi="Times" w:cs="AdvPTimes"/>
        </w:rPr>
        <w:t>I.</w:t>
      </w:r>
      <w:r w:rsidRPr="0052729A">
        <w:rPr>
          <w:rFonts w:ascii="Times" w:hAnsi="Times" w:cs="AdvPTimes"/>
        </w:rPr>
        <w:t>3). On day 3, fewer larvae at HighCO</w:t>
      </w:r>
      <w:r w:rsidRPr="0052729A">
        <w:rPr>
          <w:rFonts w:ascii="Times" w:hAnsi="Times" w:cs="AdvPTimes"/>
          <w:vertAlign w:val="subscript"/>
        </w:rPr>
        <w:t>2</w:t>
      </w:r>
      <w:r w:rsidRPr="0052729A">
        <w:rPr>
          <w:rFonts w:ascii="Times" w:hAnsi="Times" w:cs="AdvPTimes"/>
        </w:rPr>
        <w:t xml:space="preserve"> conditions had full shell compared with the other two treatments </w:t>
      </w:r>
      <w:r w:rsidR="008014F1">
        <w:rPr>
          <w:rFonts w:ascii="Times" w:hAnsi="Times" w:cs="AdvPTimes"/>
        </w:rPr>
        <w:t>(z value = -3.203, P = 0.00136).</w:t>
      </w:r>
    </w:p>
    <w:p w14:paraId="529AC14F" w14:textId="77777777" w:rsidR="008014F1" w:rsidRDefault="00650BE8" w:rsidP="008014F1">
      <w:pPr>
        <w:widowControl w:val="0"/>
        <w:autoSpaceDE w:val="0"/>
        <w:autoSpaceDN w:val="0"/>
        <w:adjustRightInd w:val="0"/>
        <w:spacing w:line="360" w:lineRule="auto"/>
        <w:ind w:firstLine="720"/>
        <w:rPr>
          <w:rFonts w:ascii="Times" w:hAnsi="Times" w:cs="AdvPTimes"/>
        </w:rPr>
      </w:pPr>
      <w:r w:rsidRPr="0052729A">
        <w:rPr>
          <w:rFonts w:ascii="Times" w:hAnsi="Times" w:cs="AdvPTimes"/>
        </w:rPr>
        <w:t>Larval size (shell height and hinge length) was similar across experimental treatments after 24 h; however, by day 3, larvae grew significantly larger (height and length) in the Ambient and MidCO</w:t>
      </w:r>
      <w:r w:rsidRPr="0052729A">
        <w:rPr>
          <w:rFonts w:ascii="Times" w:hAnsi="Times" w:cs="AdvPTimes"/>
          <w:vertAlign w:val="subscript"/>
        </w:rPr>
        <w:t>2</w:t>
      </w:r>
      <w:r w:rsidRPr="0052729A">
        <w:rPr>
          <w:rFonts w:ascii="Times" w:hAnsi="Times" w:cs="AdvPTimes"/>
        </w:rPr>
        <w:t xml:space="preserve"> as compared to the HighCO</w:t>
      </w:r>
      <w:r w:rsidRPr="0052729A">
        <w:rPr>
          <w:rFonts w:ascii="Times" w:hAnsi="Times" w:cs="AdvPTimes"/>
          <w:vertAlign w:val="subscript"/>
        </w:rPr>
        <w:t>2</w:t>
      </w:r>
      <w:r w:rsidRPr="0052729A">
        <w:rPr>
          <w:rFonts w:ascii="Times" w:hAnsi="Times" w:cs="AdvPTimes"/>
        </w:rPr>
        <w:t xml:space="preserve"> treatment (Table </w:t>
      </w:r>
      <w:r w:rsidR="00A14DF5" w:rsidRPr="0052729A">
        <w:rPr>
          <w:rFonts w:ascii="Times" w:hAnsi="Times" w:cs="AdvPTimes"/>
        </w:rPr>
        <w:t>I.</w:t>
      </w:r>
      <w:r w:rsidRPr="0052729A">
        <w:rPr>
          <w:rFonts w:ascii="Times" w:hAnsi="Times" w:cs="AdvPTimes"/>
        </w:rPr>
        <w:t xml:space="preserve">2, Figs. </w:t>
      </w:r>
      <w:r w:rsidR="00A14DF5" w:rsidRPr="0052729A">
        <w:rPr>
          <w:rFonts w:ascii="Times" w:hAnsi="Times" w:cs="AdvPTimes"/>
        </w:rPr>
        <w:t>I.</w:t>
      </w:r>
      <w:r w:rsidRPr="0052729A">
        <w:rPr>
          <w:rFonts w:ascii="Times" w:hAnsi="Times" w:cs="AdvPTimes"/>
        </w:rPr>
        <w:t xml:space="preserve">4, </w:t>
      </w:r>
      <w:r w:rsidR="00A14DF5" w:rsidRPr="0052729A">
        <w:rPr>
          <w:rFonts w:ascii="Times" w:hAnsi="Times" w:cs="AdvPTimes"/>
        </w:rPr>
        <w:t>I.</w:t>
      </w:r>
      <w:r w:rsidRPr="0052729A">
        <w:rPr>
          <w:rFonts w:ascii="Times" w:hAnsi="Times" w:cs="AdvPTimes"/>
        </w:rPr>
        <w:t>5). Between days 1 and 3, larvae increased in size under Ambi</w:t>
      </w:r>
      <w:r w:rsidR="005B03F6" w:rsidRPr="0052729A">
        <w:rPr>
          <w:rFonts w:ascii="Times" w:hAnsi="Times" w:cs="AdvPTimes"/>
        </w:rPr>
        <w:t xml:space="preserve">ent conditions (shell height, P &lt; </w:t>
      </w:r>
      <w:r w:rsidRPr="0052729A">
        <w:rPr>
          <w:rFonts w:ascii="Times" w:hAnsi="Times" w:cs="AdvPTimes"/>
        </w:rPr>
        <w:t>1e-7) and MidCO</w:t>
      </w:r>
      <w:r w:rsidRPr="0052729A">
        <w:rPr>
          <w:rFonts w:ascii="Times" w:hAnsi="Times" w:cs="AdvPTimes"/>
          <w:vertAlign w:val="subscript"/>
        </w:rPr>
        <w:t>2</w:t>
      </w:r>
      <w:r w:rsidRPr="0052729A">
        <w:rPr>
          <w:rFonts w:ascii="Times" w:hAnsi="Times" w:cs="AdvPTimes"/>
        </w:rPr>
        <w:t xml:space="preserve"> conditions (s</w:t>
      </w:r>
      <w:r w:rsidR="005B03F6" w:rsidRPr="0052729A">
        <w:rPr>
          <w:rFonts w:ascii="Times" w:hAnsi="Times" w:cs="AdvPTimes"/>
        </w:rPr>
        <w:t xml:space="preserve">hell height and hinge length, P &lt; </w:t>
      </w:r>
      <w:r w:rsidRPr="0052729A">
        <w:rPr>
          <w:rFonts w:ascii="Times" w:hAnsi="Times" w:cs="AdvPTimes"/>
        </w:rPr>
        <w:t xml:space="preserve">1e-7 and P = 7.4e-6, respectively; Figs. </w:t>
      </w:r>
      <w:r w:rsidR="00D62029" w:rsidRPr="0052729A">
        <w:rPr>
          <w:rFonts w:ascii="Times" w:hAnsi="Times" w:cs="AdvPTimes"/>
        </w:rPr>
        <w:t>I.</w:t>
      </w:r>
      <w:r w:rsidRPr="0052729A">
        <w:rPr>
          <w:rFonts w:ascii="Times" w:hAnsi="Times" w:cs="AdvPTimes"/>
        </w:rPr>
        <w:t xml:space="preserve">4, </w:t>
      </w:r>
      <w:r w:rsidR="00D62029" w:rsidRPr="0052729A">
        <w:rPr>
          <w:rFonts w:ascii="Times" w:hAnsi="Times" w:cs="AdvPTimes"/>
        </w:rPr>
        <w:t>I.</w:t>
      </w:r>
      <w:r w:rsidRPr="0052729A">
        <w:rPr>
          <w:rFonts w:ascii="Times" w:hAnsi="Times" w:cs="AdvPTimes"/>
        </w:rPr>
        <w:t>5) but did not significantly increase in size under HighCO</w:t>
      </w:r>
      <w:r w:rsidRPr="0052729A">
        <w:rPr>
          <w:rFonts w:ascii="Times" w:hAnsi="Times" w:cs="AdvPTimes"/>
          <w:vertAlign w:val="subscript"/>
        </w:rPr>
        <w:t>2</w:t>
      </w:r>
      <w:r w:rsidRPr="0052729A">
        <w:rPr>
          <w:rFonts w:ascii="Times" w:hAnsi="Times" w:cs="AdvPTimes"/>
        </w:rPr>
        <w:t xml:space="preserve"> conditions. By day 3, all larvae observed across treatments were at the D-hinge stage. The slope of the linear regression through shell height versus hinge length for the larvae raised at Ambient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Pr="0052729A">
        <w:rPr>
          <w:rFonts w:ascii="Times" w:hAnsi="Times" w:cs="AdvPTimes"/>
        </w:rPr>
        <w:t xml:space="preserve"> was 0.6459 (Fig. </w:t>
      </w:r>
      <w:r w:rsidR="00D62029" w:rsidRPr="0052729A">
        <w:rPr>
          <w:rFonts w:ascii="Times" w:hAnsi="Times" w:cs="AdvPTimes"/>
        </w:rPr>
        <w:t>I.</w:t>
      </w:r>
      <w:r w:rsidRPr="0052729A">
        <w:rPr>
          <w:rFonts w:ascii="Times" w:hAnsi="Times" w:cs="AdvPTimes"/>
        </w:rPr>
        <w:t>6), which was not significantly different from the slope of the regression line through the MidCO</w:t>
      </w:r>
      <w:r w:rsidRPr="0052729A">
        <w:rPr>
          <w:rFonts w:ascii="Times" w:hAnsi="Times" w:cs="AdvPTimes"/>
          <w:vertAlign w:val="subscript"/>
        </w:rPr>
        <w:t>2</w:t>
      </w:r>
      <w:r w:rsidR="005B03F6" w:rsidRPr="0052729A">
        <w:rPr>
          <w:rFonts w:ascii="Times" w:hAnsi="Times" w:cs="AdvPTimes"/>
        </w:rPr>
        <w:t xml:space="preserve"> data (0.8583, P  &gt; </w:t>
      </w:r>
      <w:r w:rsidRPr="0052729A">
        <w:rPr>
          <w:rFonts w:ascii="Times" w:hAnsi="Times" w:cs="AdvPTimes"/>
        </w:rPr>
        <w:t>0.05) or from the line through the HighCO</w:t>
      </w:r>
      <w:r w:rsidRPr="0052729A">
        <w:rPr>
          <w:rFonts w:ascii="Times" w:hAnsi="Times" w:cs="AdvPTimes"/>
          <w:vertAlign w:val="subscript"/>
        </w:rPr>
        <w:t>2</w:t>
      </w:r>
      <w:r w:rsidR="005B03F6" w:rsidRPr="0052729A">
        <w:rPr>
          <w:rFonts w:ascii="Times" w:hAnsi="Times" w:cs="AdvPTimes"/>
        </w:rPr>
        <w:t xml:space="preserve"> size data (0.3625, P &gt; </w:t>
      </w:r>
      <w:r w:rsidRPr="0052729A">
        <w:rPr>
          <w:rFonts w:ascii="Times" w:hAnsi="Times" w:cs="AdvPTimes"/>
        </w:rPr>
        <w:t>0.10).</w:t>
      </w:r>
    </w:p>
    <w:p w14:paraId="21DF19A2" w14:textId="15F6CAC5" w:rsidR="00C02D9B" w:rsidRPr="008014F1" w:rsidRDefault="00C02D9B" w:rsidP="008014F1">
      <w:pPr>
        <w:pStyle w:val="Heading2"/>
        <w:rPr>
          <w:rFonts w:cs="AdvPTimes"/>
        </w:rPr>
      </w:pPr>
      <w:bookmarkStart w:id="26" w:name="_Toc257278780"/>
      <w:r>
        <w:t>Discussion</w:t>
      </w:r>
      <w:bookmarkEnd w:id="26"/>
    </w:p>
    <w:p w14:paraId="45C0F9AA" w14:textId="77777777" w:rsidR="005643FD" w:rsidRPr="005643FD" w:rsidRDefault="005643FD" w:rsidP="005643FD"/>
    <w:p w14:paraId="1EAFEAAE" w14:textId="0382F2C9" w:rsidR="00433E37" w:rsidRPr="0052729A" w:rsidRDefault="00650BE8"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Oyster larvae raised at HighCO</w:t>
      </w:r>
      <w:r w:rsidRPr="0052729A">
        <w:rPr>
          <w:rFonts w:ascii="Times" w:hAnsi="Times" w:cs="AdvPTimes"/>
          <w:vertAlign w:val="subscript"/>
        </w:rPr>
        <w:t>2</w:t>
      </w:r>
      <w:r w:rsidRPr="0052729A">
        <w:rPr>
          <w:rFonts w:ascii="Times" w:hAnsi="Times" w:cs="AdvPTimes"/>
        </w:rPr>
        <w:t xml:space="preserve"> </w:t>
      </w:r>
      <w:r w:rsidR="00433E37" w:rsidRPr="0052729A">
        <w:rPr>
          <w:rFonts w:ascii="Times" w:hAnsi="Times" w:cs="AdvPTimes"/>
        </w:rPr>
        <w:t xml:space="preserve">showed evidence of a </w:t>
      </w:r>
      <w:r w:rsidRPr="0052729A">
        <w:rPr>
          <w:rFonts w:ascii="Times" w:hAnsi="Times" w:cs="AdvPTimes"/>
        </w:rPr>
        <w:t>developmental delay by 3 days post-fertilization, which</w:t>
      </w:r>
      <w:r w:rsidR="00433E37" w:rsidRPr="0052729A">
        <w:rPr>
          <w:rFonts w:ascii="Times" w:hAnsi="Times" w:cs="AdvPTimes"/>
        </w:rPr>
        <w:t xml:space="preserve"> </w:t>
      </w:r>
      <w:r w:rsidRPr="0052729A">
        <w:rPr>
          <w:rFonts w:ascii="Times" w:hAnsi="Times" w:cs="AdvPTimes"/>
        </w:rPr>
        <w:t>caused them to be smaller and have less calcified material</w:t>
      </w:r>
      <w:r w:rsidR="00433E37" w:rsidRPr="0052729A">
        <w:rPr>
          <w:rFonts w:ascii="Times" w:hAnsi="Times" w:cs="AdvPTimes"/>
        </w:rPr>
        <w:t xml:space="preserve"> </w:t>
      </w:r>
      <w:r w:rsidRPr="0052729A">
        <w:rPr>
          <w:rFonts w:ascii="Times" w:hAnsi="Times" w:cs="AdvPTimes"/>
        </w:rPr>
        <w:t>than controls. These results are consistent with other</w:t>
      </w:r>
      <w:r w:rsidR="00433E37" w:rsidRPr="0052729A">
        <w:rPr>
          <w:rFonts w:ascii="Times" w:hAnsi="Times" w:cs="AdvPTimes"/>
        </w:rPr>
        <w:t xml:space="preserve"> </w:t>
      </w:r>
      <w:r w:rsidRPr="0052729A">
        <w:rPr>
          <w:rFonts w:ascii="Times" w:hAnsi="Times" w:cs="AdvPTimes"/>
        </w:rPr>
        <w:t xml:space="preserve">studies of </w:t>
      </w:r>
      <w:r w:rsidRPr="0052729A">
        <w:rPr>
          <w:rFonts w:ascii="Times" w:hAnsi="Times" w:cs="AdvPTimes"/>
          <w:i/>
        </w:rPr>
        <w:t>Crassostrea</w:t>
      </w:r>
      <w:r w:rsidRPr="0052729A">
        <w:rPr>
          <w:rFonts w:ascii="Times" w:hAnsi="Times" w:cs="AdvPTimes"/>
        </w:rPr>
        <w:t xml:space="preserve"> spp. larvae in which elevated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00433E37" w:rsidRPr="0052729A">
        <w:rPr>
          <w:rFonts w:ascii="Times" w:hAnsi="Times" w:cs="AdvPTimes"/>
        </w:rPr>
        <w:t xml:space="preserve"> </w:t>
      </w:r>
      <w:r w:rsidRPr="0052729A">
        <w:rPr>
          <w:rFonts w:ascii="Times" w:hAnsi="Times" w:cs="AdvPTimes"/>
        </w:rPr>
        <w:t>resulted in decreased growth and shell mineralization</w:t>
      </w:r>
      <w:r w:rsidR="00433E37" w:rsidRPr="0052729A">
        <w:rPr>
          <w:rFonts w:ascii="Times" w:hAnsi="Times" w:cs="AdvPTimes"/>
        </w:rPr>
        <w:t xml:space="preserve"> </w:t>
      </w:r>
      <w:r w:rsidRPr="0052729A">
        <w:rPr>
          <w:rFonts w:ascii="Times" w:hAnsi="Times" w:cs="AdvPTimes"/>
        </w:rPr>
        <w:t>(Kurihara et al. 2007; Miller et al. 2009). Kurihara et al.</w:t>
      </w:r>
      <w:r w:rsidR="00433E37" w:rsidRPr="0052729A">
        <w:rPr>
          <w:rFonts w:ascii="Times" w:hAnsi="Times" w:cs="AdvPTimes"/>
        </w:rPr>
        <w:t xml:space="preserve"> </w:t>
      </w:r>
      <w:r w:rsidRPr="0052729A">
        <w:rPr>
          <w:rFonts w:ascii="Times" w:hAnsi="Times" w:cs="AdvPTimes"/>
        </w:rPr>
        <w:t xml:space="preserve">(2007) raised </w:t>
      </w:r>
      <w:r w:rsidRPr="0052729A">
        <w:rPr>
          <w:rFonts w:ascii="Times" w:hAnsi="Times" w:cs="AdvPTimes"/>
          <w:i/>
        </w:rPr>
        <w:t>C. gigas</w:t>
      </w:r>
      <w:r w:rsidRPr="0052729A">
        <w:rPr>
          <w:rFonts w:ascii="Times" w:hAnsi="Times" w:cs="AdvPTimes"/>
        </w:rPr>
        <w:t xml:space="preserve"> to 48 h post-fertilization at an elevated</w:t>
      </w:r>
      <w:r w:rsidR="00433E37" w:rsidRPr="0052729A">
        <w:rPr>
          <w:rFonts w:ascii="Times" w:hAnsi="Times" w:cs="AdvPTimes"/>
        </w:rPr>
        <w:t xml:space="preserve">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00D37AAA" w:rsidRPr="0052729A">
        <w:rPr>
          <w:rFonts w:ascii="Times" w:hAnsi="Times" w:cs="AdvPTimes"/>
        </w:rPr>
        <w:t xml:space="preserve"> of about 2,268 μ</w:t>
      </w:r>
      <w:r w:rsidRPr="0052729A">
        <w:rPr>
          <w:rFonts w:ascii="Times" w:hAnsi="Times" w:cs="AdvPTimes"/>
        </w:rPr>
        <w:t xml:space="preserve">atm, much higher than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00433E37" w:rsidRPr="0052729A">
        <w:rPr>
          <w:rFonts w:ascii="Times" w:hAnsi="Times" w:cs="AdvPTimes"/>
        </w:rPr>
        <w:t xml:space="preserve"> projected for the coming century, and observed a negative effect on calcification as early as 24 h post-fertilization.  The authors also observed a developmental delay in reaching the D-hinge stage at 48 h post-fertilization (Kurihara et al. 2007). Since we did not measure growth or calcification in our larvae at 48 h post-fertilization, we are not able to draw direct comparisons with this time point, but we did observe a developmental delay by 72 h post</w:t>
      </w:r>
      <w:r w:rsidR="00D62029" w:rsidRPr="0052729A">
        <w:rPr>
          <w:rFonts w:ascii="Times" w:hAnsi="Times" w:cs="AdvPTimes"/>
        </w:rPr>
        <w:t>-</w:t>
      </w:r>
      <w:r w:rsidR="00433E37" w:rsidRPr="0052729A">
        <w:rPr>
          <w:rFonts w:ascii="Times" w:hAnsi="Times" w:cs="AdvPTimes"/>
        </w:rPr>
        <w:t xml:space="preserve">fertilization.  Similarly, </w:t>
      </w:r>
      <w:r w:rsidR="00433E37" w:rsidRPr="0052729A">
        <w:rPr>
          <w:rFonts w:ascii="Times" w:hAnsi="Times" w:cs="AdvPTimes"/>
          <w:i/>
        </w:rPr>
        <w:t>C. virginica</w:t>
      </w:r>
      <w:r w:rsidR="00433E37" w:rsidRPr="0052729A">
        <w:rPr>
          <w:rFonts w:ascii="Times" w:hAnsi="Times" w:cs="AdvPTimes"/>
        </w:rPr>
        <w:t xml:space="preserve"> larvae raised from 72 h post-fertilization through competency at different </w:t>
      </w:r>
      <w:r w:rsidR="00433E37" w:rsidRPr="0052729A">
        <w:rPr>
          <w:rFonts w:ascii="Times" w:hAnsi="Times" w:cs="AdvPTimes"/>
          <w:i/>
        </w:rPr>
        <w:t>p</w:t>
      </w:r>
      <w:r w:rsidR="00433E37" w:rsidRPr="0052729A">
        <w:rPr>
          <w:rFonts w:ascii="Times" w:hAnsi="Times" w:cs="AdvPTimes"/>
        </w:rPr>
        <w:t>CO</w:t>
      </w:r>
      <w:r w:rsidR="00433E37" w:rsidRPr="0052729A">
        <w:rPr>
          <w:rFonts w:ascii="Times" w:hAnsi="Times" w:cs="AdvPTimes"/>
          <w:vertAlign w:val="subscript"/>
        </w:rPr>
        <w:t>2</w:t>
      </w:r>
      <w:r w:rsidR="00433E37" w:rsidRPr="0052729A">
        <w:rPr>
          <w:rFonts w:ascii="Times" w:hAnsi="Times" w:cs="AdvPTimes"/>
        </w:rPr>
        <w:t xml:space="preserve"> grew more slowly at elevated </w:t>
      </w:r>
      <w:r w:rsidR="00433E37" w:rsidRPr="0052729A">
        <w:rPr>
          <w:rFonts w:ascii="Times" w:hAnsi="Times" w:cs="AdvPTimes"/>
          <w:i/>
        </w:rPr>
        <w:t>p</w:t>
      </w:r>
      <w:r w:rsidR="00433E37" w:rsidRPr="0052729A">
        <w:rPr>
          <w:rFonts w:ascii="Times" w:hAnsi="Times" w:cs="AdvPTimes"/>
        </w:rPr>
        <w:t>CO</w:t>
      </w:r>
      <w:r w:rsidR="00433E37" w:rsidRPr="0052729A">
        <w:rPr>
          <w:rFonts w:ascii="Times" w:hAnsi="Times" w:cs="AdvPTimes"/>
          <w:vertAlign w:val="subscript"/>
        </w:rPr>
        <w:t>2</w:t>
      </w:r>
      <w:r w:rsidR="00AE4FCF" w:rsidRPr="0052729A">
        <w:rPr>
          <w:rFonts w:ascii="Times" w:hAnsi="Times" w:cs="AdvPTimes"/>
        </w:rPr>
        <w:t xml:space="preserve"> (560 and 800 µ</w:t>
      </w:r>
      <w:r w:rsidR="00433E37" w:rsidRPr="0052729A">
        <w:rPr>
          <w:rFonts w:ascii="Times" w:hAnsi="Times" w:cs="AdvPTimes"/>
        </w:rPr>
        <w:t>atm) and biomineralized less CaCO</w:t>
      </w:r>
      <w:r w:rsidR="00433E37" w:rsidRPr="0052729A">
        <w:rPr>
          <w:rFonts w:ascii="Times" w:hAnsi="Times" w:cs="AdvPTimes"/>
          <w:vertAlign w:val="subscript"/>
        </w:rPr>
        <w:t>3</w:t>
      </w:r>
      <w:r w:rsidR="00433E37" w:rsidRPr="0052729A">
        <w:rPr>
          <w:rFonts w:ascii="Times" w:hAnsi="Times" w:cs="AdvPTimes"/>
        </w:rPr>
        <w:t xml:space="preserve"> than controls; however, </w:t>
      </w:r>
      <w:r w:rsidR="00433E37" w:rsidRPr="0052729A">
        <w:rPr>
          <w:rFonts w:ascii="Times" w:hAnsi="Times" w:cs="AdvPTimes"/>
          <w:i/>
        </w:rPr>
        <w:t>Crassostrea ariakensis</w:t>
      </w:r>
      <w:r w:rsidR="00433E37" w:rsidRPr="0052729A">
        <w:rPr>
          <w:rFonts w:ascii="Times" w:hAnsi="Times" w:cs="AdvPTimes"/>
        </w:rPr>
        <w:t xml:space="preserve"> showed no effect of </w:t>
      </w:r>
      <w:r w:rsidR="00433E37" w:rsidRPr="0052729A">
        <w:rPr>
          <w:rFonts w:ascii="Times" w:hAnsi="Times" w:cs="AdvPTimes"/>
          <w:i/>
        </w:rPr>
        <w:t>p</w:t>
      </w:r>
      <w:r w:rsidR="00433E37" w:rsidRPr="0052729A">
        <w:rPr>
          <w:rFonts w:ascii="Times" w:hAnsi="Times" w:cs="AdvPTimes"/>
        </w:rPr>
        <w:t>CO</w:t>
      </w:r>
      <w:r w:rsidR="00433E37" w:rsidRPr="0052729A">
        <w:rPr>
          <w:rFonts w:ascii="Times" w:hAnsi="Times" w:cs="AdvPTimes"/>
          <w:vertAlign w:val="subscript"/>
        </w:rPr>
        <w:t>2</w:t>
      </w:r>
      <w:r w:rsidR="00433E37" w:rsidRPr="0052729A">
        <w:rPr>
          <w:rFonts w:ascii="Times" w:hAnsi="Times" w:cs="AdvPTimes"/>
        </w:rPr>
        <w:t xml:space="preserve"> treatment </w:t>
      </w:r>
      <w:r w:rsidR="00433E37" w:rsidRPr="0052729A">
        <w:rPr>
          <w:rFonts w:ascii="Times" w:hAnsi="Times" w:cs="Times New Roman"/>
        </w:rPr>
        <w:t>(Miller et al. 2009). It is likely the observed differences</w:t>
      </w:r>
      <w:r w:rsidR="00433E37" w:rsidRPr="0052729A">
        <w:rPr>
          <w:rFonts w:ascii="Times" w:hAnsi="Times" w:cs="AdvPTimes"/>
        </w:rPr>
        <w:t xml:space="preserve"> </w:t>
      </w:r>
      <w:r w:rsidR="00433E37" w:rsidRPr="0052729A">
        <w:rPr>
          <w:rFonts w:ascii="Times" w:hAnsi="Times" w:cs="Times New Roman"/>
        </w:rPr>
        <w:t xml:space="preserve">between the studies are related to the much higher </w:t>
      </w:r>
      <w:r w:rsidR="00433E37" w:rsidRPr="0052729A">
        <w:rPr>
          <w:rFonts w:ascii="Times" w:hAnsi="Times" w:cs="Times New Roman"/>
          <w:i/>
        </w:rPr>
        <w:t>p</w:t>
      </w:r>
      <w:r w:rsidR="00433E37" w:rsidRPr="0052729A">
        <w:rPr>
          <w:rFonts w:ascii="Times" w:hAnsi="Times" w:cs="Times New Roman"/>
        </w:rPr>
        <w:t>CO</w:t>
      </w:r>
      <w:r w:rsidR="00433E37" w:rsidRPr="0052729A">
        <w:rPr>
          <w:rFonts w:ascii="Times" w:hAnsi="Times" w:cs="Times New Roman"/>
          <w:vertAlign w:val="subscript"/>
        </w:rPr>
        <w:t>2</w:t>
      </w:r>
      <w:r w:rsidR="00433E37" w:rsidRPr="0052729A">
        <w:rPr>
          <w:rFonts w:ascii="Times" w:hAnsi="Times" w:cs="AdvPTimes"/>
        </w:rPr>
        <w:t xml:space="preserve"> </w:t>
      </w:r>
      <w:r w:rsidR="00433E37" w:rsidRPr="0052729A">
        <w:rPr>
          <w:rFonts w:ascii="Times" w:hAnsi="Times" w:cs="Times New Roman"/>
        </w:rPr>
        <w:t>level used by Kurihara et al. (2007) and species- and</w:t>
      </w:r>
      <w:r w:rsidR="00433E37" w:rsidRPr="0052729A">
        <w:rPr>
          <w:rFonts w:ascii="Times" w:hAnsi="Times" w:cs="AdvPTimes"/>
        </w:rPr>
        <w:t xml:space="preserve"> </w:t>
      </w:r>
      <w:r w:rsidR="00433E37" w:rsidRPr="0052729A">
        <w:rPr>
          <w:rFonts w:ascii="Times" w:hAnsi="Times" w:cs="Times New Roman"/>
        </w:rPr>
        <w:t>population-specific differences in acclimation to ocean</w:t>
      </w:r>
      <w:r w:rsidR="00433E37" w:rsidRPr="0052729A">
        <w:rPr>
          <w:rFonts w:ascii="Times" w:hAnsi="Times" w:cs="AdvPTimes"/>
        </w:rPr>
        <w:t xml:space="preserve"> </w:t>
      </w:r>
      <w:r w:rsidR="00433E37" w:rsidRPr="0052729A">
        <w:rPr>
          <w:rFonts w:ascii="Times" w:hAnsi="Times" w:cs="Times New Roman"/>
        </w:rPr>
        <w:t>acidification.</w:t>
      </w:r>
    </w:p>
    <w:p w14:paraId="4C333436" w14:textId="26C39A04" w:rsidR="00433E37" w:rsidRPr="0052729A" w:rsidRDefault="00433E37" w:rsidP="00426D9F">
      <w:pPr>
        <w:widowControl w:val="0"/>
        <w:autoSpaceDE w:val="0"/>
        <w:autoSpaceDN w:val="0"/>
        <w:adjustRightInd w:val="0"/>
        <w:spacing w:line="360" w:lineRule="auto"/>
        <w:ind w:firstLine="720"/>
        <w:rPr>
          <w:rFonts w:ascii="Times" w:hAnsi="Times" w:cs="Times New Roman"/>
        </w:rPr>
      </w:pPr>
      <w:r w:rsidRPr="0052729A">
        <w:rPr>
          <w:rFonts w:ascii="Times" w:hAnsi="Times" w:cs="Times New Roman"/>
        </w:rPr>
        <w:t xml:space="preserve">The developmental delay is evidenced by similar growth trajectories across treatments (Figs. </w:t>
      </w:r>
      <w:r w:rsidR="00D62029" w:rsidRPr="0052729A">
        <w:rPr>
          <w:rFonts w:ascii="Times" w:hAnsi="Times" w:cs="Times New Roman"/>
        </w:rPr>
        <w:t>I.</w:t>
      </w:r>
      <w:r w:rsidRPr="0052729A">
        <w:rPr>
          <w:rFonts w:ascii="Times" w:hAnsi="Times" w:cs="Times New Roman"/>
        </w:rPr>
        <w:t xml:space="preserve">3, </w:t>
      </w:r>
      <w:r w:rsidR="00D62029" w:rsidRPr="0052729A">
        <w:rPr>
          <w:rFonts w:ascii="Times" w:hAnsi="Times" w:cs="Times New Roman"/>
        </w:rPr>
        <w:t>I.</w:t>
      </w:r>
      <w:r w:rsidRPr="0052729A">
        <w:rPr>
          <w:rFonts w:ascii="Times" w:hAnsi="Times" w:cs="Times New Roman"/>
        </w:rPr>
        <w:t>6) coupled with the smaller size of larvae in the HighCO</w:t>
      </w:r>
      <w:r w:rsidRPr="0052729A">
        <w:rPr>
          <w:rFonts w:ascii="Times" w:hAnsi="Times" w:cs="Times New Roman"/>
          <w:vertAlign w:val="subscript"/>
        </w:rPr>
        <w:t>2</w:t>
      </w:r>
      <w:r w:rsidRPr="0052729A">
        <w:rPr>
          <w:rFonts w:ascii="Times" w:hAnsi="Times" w:cs="Times New Roman"/>
        </w:rPr>
        <w:t xml:space="preserve"> treatment. This suggests that change in size is not a direct effect of ocean acidification on shell growth and maintenance. In a study comparing faster growing hybrid </w:t>
      </w:r>
      <w:r w:rsidRPr="0052729A">
        <w:rPr>
          <w:rFonts w:ascii="Times" w:hAnsi="Times" w:cs="Times New Roman"/>
          <w:i/>
        </w:rPr>
        <w:t>C. gigas</w:t>
      </w:r>
      <w:r w:rsidRPr="0052729A">
        <w:rPr>
          <w:rFonts w:ascii="Times" w:hAnsi="Times" w:cs="Times New Roman"/>
        </w:rPr>
        <w:t xml:space="preserve"> larvae to slower </w:t>
      </w:r>
      <w:r w:rsidRPr="0052729A">
        <w:rPr>
          <w:rFonts w:ascii="Times" w:hAnsi="Times" w:cs="AdvPTimes"/>
        </w:rPr>
        <w:t>growing inbred larvae, slower growth was attributed to</w:t>
      </w:r>
      <w:r w:rsidRPr="0052729A">
        <w:rPr>
          <w:rFonts w:ascii="Times" w:hAnsi="Times" w:cs="Times New Roman"/>
        </w:rPr>
        <w:t xml:space="preserve"> </w:t>
      </w:r>
      <w:r w:rsidRPr="0052729A">
        <w:rPr>
          <w:rFonts w:ascii="Times" w:hAnsi="Times" w:cs="AdvPTimes"/>
        </w:rPr>
        <w:t>reduced feeding rate and differing allocation of internal</w:t>
      </w:r>
      <w:r w:rsidRPr="0052729A">
        <w:rPr>
          <w:rFonts w:ascii="Times" w:hAnsi="Times" w:cs="Times New Roman"/>
        </w:rPr>
        <w:t xml:space="preserve"> </w:t>
      </w:r>
      <w:r w:rsidRPr="0052729A">
        <w:rPr>
          <w:rFonts w:ascii="Times" w:hAnsi="Times" w:cs="AdvPTimes"/>
        </w:rPr>
        <w:t>energy reserves for metabolic processes (Pace et al. 2006).</w:t>
      </w:r>
      <w:r w:rsidRPr="0052729A">
        <w:rPr>
          <w:rFonts w:ascii="Times" w:hAnsi="Times" w:cs="Times New Roman"/>
        </w:rPr>
        <w:t xml:space="preserve">  </w:t>
      </w:r>
      <w:r w:rsidRPr="0052729A">
        <w:rPr>
          <w:rFonts w:ascii="Times" w:hAnsi="Times" w:cs="AdvPTimes"/>
        </w:rPr>
        <w:t xml:space="preserve">The stress of elevated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Pr="0052729A">
        <w:rPr>
          <w:rFonts w:ascii="Times" w:hAnsi="Times" w:cs="AdvPTimes"/>
        </w:rPr>
        <w:t xml:space="preserve"> can induce similar physiological</w:t>
      </w:r>
      <w:r w:rsidRPr="0052729A">
        <w:rPr>
          <w:rFonts w:ascii="Times" w:hAnsi="Times" w:cs="Times New Roman"/>
        </w:rPr>
        <w:t xml:space="preserve"> </w:t>
      </w:r>
      <w:r w:rsidRPr="0052729A">
        <w:rPr>
          <w:rFonts w:ascii="Times" w:hAnsi="Times" w:cs="AdvPTimes"/>
        </w:rPr>
        <w:t>changes via effects on metabolic demands, resulting in a</w:t>
      </w:r>
      <w:r w:rsidRPr="0052729A">
        <w:rPr>
          <w:rFonts w:ascii="Times" w:hAnsi="Times" w:cs="Times New Roman"/>
        </w:rPr>
        <w:t xml:space="preserve"> </w:t>
      </w:r>
      <w:r w:rsidRPr="0052729A">
        <w:rPr>
          <w:rFonts w:ascii="Times" w:hAnsi="Times" w:cs="AdvPTimes"/>
        </w:rPr>
        <w:t>developmentally delayed phenotype (Stumpp et al. 2011a).</w:t>
      </w:r>
      <w:r w:rsidRPr="0052729A">
        <w:rPr>
          <w:rFonts w:ascii="Times" w:hAnsi="Times" w:cs="Times New Roman"/>
        </w:rPr>
        <w:t xml:space="preserve">  </w:t>
      </w:r>
      <w:r w:rsidRPr="0052729A">
        <w:rPr>
          <w:rFonts w:ascii="Times" w:hAnsi="Times" w:cs="AdvPTimes"/>
        </w:rPr>
        <w:t>It is difficult to detect developmental delay with complete</w:t>
      </w:r>
      <w:r w:rsidRPr="0052729A">
        <w:rPr>
          <w:rFonts w:ascii="Times" w:hAnsi="Times" w:cs="Times New Roman"/>
        </w:rPr>
        <w:t xml:space="preserve"> </w:t>
      </w:r>
      <w:r w:rsidRPr="0052729A">
        <w:rPr>
          <w:rFonts w:ascii="Times" w:hAnsi="Times" w:cs="AdvPTimes"/>
        </w:rPr>
        <w:t>confidence in studies that do not follow larvae through to</w:t>
      </w:r>
      <w:r w:rsidRPr="0052729A">
        <w:rPr>
          <w:rFonts w:ascii="Times" w:hAnsi="Times" w:cs="Times New Roman"/>
        </w:rPr>
        <w:t xml:space="preserve"> </w:t>
      </w:r>
      <w:r w:rsidRPr="0052729A">
        <w:rPr>
          <w:rFonts w:ascii="Times" w:hAnsi="Times" w:cs="AdvPTimes"/>
        </w:rPr>
        <w:t xml:space="preserve">settlement. In one such study, larval </w:t>
      </w:r>
      <w:r w:rsidRPr="0052729A">
        <w:rPr>
          <w:rFonts w:ascii="Times" w:hAnsi="Times" w:cs="AdvPTimes"/>
          <w:i/>
        </w:rPr>
        <w:t>Strongylocentrotus</w:t>
      </w:r>
      <w:r w:rsidRPr="0052729A">
        <w:rPr>
          <w:rFonts w:ascii="Times" w:hAnsi="Times" w:cs="Times New Roman"/>
          <w:i/>
        </w:rPr>
        <w:t xml:space="preserve"> </w:t>
      </w:r>
      <w:r w:rsidRPr="0052729A">
        <w:rPr>
          <w:rFonts w:ascii="Times" w:hAnsi="Times" w:cs="AdvPTimes"/>
          <w:i/>
        </w:rPr>
        <w:t>purpuratus</w:t>
      </w:r>
      <w:r w:rsidRPr="0052729A">
        <w:rPr>
          <w:rFonts w:ascii="Times" w:hAnsi="Times" w:cs="AdvPTimes"/>
        </w:rPr>
        <w:t xml:space="preserve"> were exposed to elevated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Pr="0052729A">
        <w:rPr>
          <w:rFonts w:ascii="Times" w:hAnsi="Times" w:cs="AdvPTimes"/>
        </w:rPr>
        <w:t xml:space="preserve"> throughout their</w:t>
      </w:r>
      <w:r w:rsidRPr="0052729A">
        <w:rPr>
          <w:rFonts w:ascii="Times" w:hAnsi="Times" w:cs="Times New Roman"/>
        </w:rPr>
        <w:t xml:space="preserve"> </w:t>
      </w:r>
      <w:r w:rsidRPr="0052729A">
        <w:rPr>
          <w:rFonts w:ascii="Times" w:hAnsi="Times" w:cs="AdvPTimes"/>
        </w:rPr>
        <w:t>larval period, and from this perspective, it was apparent that</w:t>
      </w:r>
      <w:r w:rsidRPr="0052729A">
        <w:rPr>
          <w:rFonts w:ascii="Times" w:hAnsi="Times" w:cs="Times New Roman"/>
        </w:rPr>
        <w:t xml:space="preserve"> </w:t>
      </w:r>
      <w:r w:rsidRPr="0052729A">
        <w:rPr>
          <w:rFonts w:ascii="Times" w:hAnsi="Times" w:cs="AdvPTimes"/>
        </w:rPr>
        <w:t>ocean acidification caused a delay in development, although</w:t>
      </w:r>
      <w:r w:rsidRPr="0052729A">
        <w:rPr>
          <w:rFonts w:ascii="Times" w:hAnsi="Times" w:cs="Times New Roman"/>
        </w:rPr>
        <w:t xml:space="preserve"> </w:t>
      </w:r>
      <w:r w:rsidRPr="0052729A">
        <w:rPr>
          <w:rFonts w:ascii="Times" w:hAnsi="Times" w:cs="AdvPTimes"/>
        </w:rPr>
        <w:t>at discrete time points, this delay could be interpreted as</w:t>
      </w:r>
      <w:r w:rsidRPr="0052729A">
        <w:rPr>
          <w:rFonts w:ascii="Times" w:hAnsi="Times" w:cs="Times New Roman"/>
        </w:rPr>
        <w:t xml:space="preserve"> </w:t>
      </w:r>
      <w:r w:rsidRPr="0052729A">
        <w:rPr>
          <w:rFonts w:ascii="Times" w:hAnsi="Times" w:cs="AdvPTimes"/>
        </w:rPr>
        <w:t>overall smaller size (Stumpp et al. 2011a). Developmental</w:t>
      </w:r>
      <w:r w:rsidRPr="0052729A">
        <w:rPr>
          <w:rFonts w:ascii="Times" w:hAnsi="Times" w:cs="Times New Roman"/>
        </w:rPr>
        <w:t xml:space="preserve"> </w:t>
      </w:r>
      <w:r w:rsidRPr="0052729A">
        <w:rPr>
          <w:rFonts w:ascii="Times" w:hAnsi="Times" w:cs="AdvPTimes"/>
        </w:rPr>
        <w:t>delay may give these species the energetic resources they</w:t>
      </w:r>
      <w:r w:rsidRPr="0052729A">
        <w:rPr>
          <w:rFonts w:ascii="Times" w:hAnsi="Times" w:cs="Times New Roman"/>
        </w:rPr>
        <w:t xml:space="preserve"> </w:t>
      </w:r>
      <w:r w:rsidRPr="0052729A">
        <w:rPr>
          <w:rFonts w:ascii="Times" w:hAnsi="Times" w:cs="AdvPTimes"/>
        </w:rPr>
        <w:t>need to survive stress and reach the later developmental</w:t>
      </w:r>
      <w:r w:rsidRPr="0052729A">
        <w:rPr>
          <w:rFonts w:ascii="Times" w:hAnsi="Times" w:cs="Times New Roman"/>
        </w:rPr>
        <w:t xml:space="preserve"> </w:t>
      </w:r>
      <w:r w:rsidRPr="0052729A">
        <w:rPr>
          <w:rFonts w:ascii="Times" w:hAnsi="Times" w:cs="AdvPTimes"/>
        </w:rPr>
        <w:t>stages of metamorphosis and settlement.</w:t>
      </w:r>
      <w:r w:rsidR="00D37AAA" w:rsidRPr="0052729A">
        <w:rPr>
          <w:rFonts w:ascii="Times" w:hAnsi="Times" w:cs="AdvPTimes"/>
        </w:rPr>
        <w:t xml:space="preserve">  </w:t>
      </w:r>
      <w:r w:rsidRPr="0052729A">
        <w:rPr>
          <w:rFonts w:ascii="Times" w:hAnsi="Times" w:cs="AdvPTimes"/>
        </w:rPr>
        <w:t>However, a delay in</w:t>
      </w:r>
      <w:r w:rsidRPr="0052729A">
        <w:rPr>
          <w:rFonts w:ascii="Times" w:hAnsi="Times" w:cs="Times New Roman"/>
        </w:rPr>
        <w:t xml:space="preserve"> </w:t>
      </w:r>
      <w:r w:rsidRPr="0052729A">
        <w:rPr>
          <w:rFonts w:ascii="Times" w:hAnsi="Times" w:cs="AdvPTimes"/>
        </w:rPr>
        <w:t>development opens the possibility for a host of other complications</w:t>
      </w:r>
      <w:r w:rsidRPr="0052729A">
        <w:rPr>
          <w:rFonts w:ascii="Times" w:hAnsi="Times" w:cs="Times New Roman"/>
        </w:rPr>
        <w:t xml:space="preserve"> </w:t>
      </w:r>
      <w:r w:rsidRPr="0052729A">
        <w:rPr>
          <w:rFonts w:ascii="Times" w:hAnsi="Times" w:cs="AdvPTimes"/>
        </w:rPr>
        <w:t>for pelagic larvae, such as greater potential to be</w:t>
      </w:r>
      <w:r w:rsidRPr="0052729A">
        <w:rPr>
          <w:rFonts w:ascii="Times" w:hAnsi="Times" w:cs="Times New Roman"/>
        </w:rPr>
        <w:t xml:space="preserve"> </w:t>
      </w:r>
      <w:r w:rsidRPr="0052729A">
        <w:rPr>
          <w:rFonts w:ascii="Times" w:hAnsi="Times" w:cs="AdvPTimes"/>
        </w:rPr>
        <w:t>advected to unsuitable habitat (Strathmann 1985), greater</w:t>
      </w:r>
      <w:r w:rsidRPr="0052729A">
        <w:rPr>
          <w:rFonts w:ascii="Times" w:hAnsi="Times" w:cs="Times New Roman"/>
        </w:rPr>
        <w:t xml:space="preserve"> </w:t>
      </w:r>
      <w:r w:rsidRPr="0052729A">
        <w:rPr>
          <w:rFonts w:ascii="Times" w:hAnsi="Times" w:cs="AdvPTimes"/>
        </w:rPr>
        <w:t>chance of being exposed to predators (Underwood and</w:t>
      </w:r>
      <w:r w:rsidRPr="0052729A">
        <w:rPr>
          <w:rFonts w:ascii="Times" w:hAnsi="Times" w:cs="Times New Roman"/>
        </w:rPr>
        <w:t xml:space="preserve"> </w:t>
      </w:r>
      <w:r w:rsidRPr="0052729A">
        <w:rPr>
          <w:rFonts w:ascii="Times" w:hAnsi="Times" w:cs="AdvPTimes"/>
        </w:rPr>
        <w:t>Fairweather 1989), and an overall longer time in the water</w:t>
      </w:r>
      <w:r w:rsidRPr="0052729A">
        <w:rPr>
          <w:rFonts w:ascii="Times" w:hAnsi="Times" w:cs="Times New Roman"/>
        </w:rPr>
        <w:t xml:space="preserve"> </w:t>
      </w:r>
      <w:r w:rsidRPr="0052729A">
        <w:rPr>
          <w:rFonts w:ascii="Times" w:hAnsi="Times" w:cs="AdvPTimes"/>
        </w:rPr>
        <w:t>column where environmental conditions are variable and</w:t>
      </w:r>
      <w:r w:rsidRPr="0052729A">
        <w:rPr>
          <w:rFonts w:ascii="Times" w:hAnsi="Times" w:cs="Times New Roman"/>
        </w:rPr>
        <w:t xml:space="preserve"> </w:t>
      </w:r>
      <w:r w:rsidRPr="0052729A">
        <w:rPr>
          <w:rFonts w:ascii="Times" w:hAnsi="Times" w:cs="AdvPTimes"/>
        </w:rPr>
        <w:t>risky for a free-floating larva.</w:t>
      </w:r>
    </w:p>
    <w:p w14:paraId="5A691363" w14:textId="38F85EED" w:rsidR="00A61FA8" w:rsidRPr="0052729A" w:rsidRDefault="00433E37"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A greater percentage of the larvae in the HighCO</w:t>
      </w:r>
      <w:r w:rsidRPr="0052729A">
        <w:rPr>
          <w:rFonts w:ascii="Times" w:hAnsi="Times" w:cs="AdvPTimes"/>
          <w:vertAlign w:val="subscript"/>
        </w:rPr>
        <w:t>2</w:t>
      </w:r>
      <w:r w:rsidRPr="0052729A">
        <w:rPr>
          <w:rFonts w:ascii="Times" w:hAnsi="Times" w:cs="AdvPTimes"/>
        </w:rPr>
        <w:t xml:space="preserve"> treatment had shell present by 24 h </w:t>
      </w:r>
      <w:r w:rsidR="00D62029" w:rsidRPr="0052729A">
        <w:rPr>
          <w:rFonts w:ascii="Times" w:hAnsi="Times" w:cs="AdvPTimes"/>
        </w:rPr>
        <w:t>post-</w:t>
      </w:r>
      <w:r w:rsidRPr="0052729A">
        <w:rPr>
          <w:rFonts w:ascii="Times" w:hAnsi="Times" w:cs="AdvPTimes"/>
        </w:rPr>
        <w:t>fertilization compared with both Ambient and MidCO</w:t>
      </w:r>
      <w:r w:rsidRPr="0052729A">
        <w:rPr>
          <w:rFonts w:ascii="Times" w:hAnsi="Times" w:cs="AdvPTimes"/>
          <w:vertAlign w:val="subscript"/>
        </w:rPr>
        <w:t>2</w:t>
      </w:r>
      <w:r w:rsidRPr="0052729A">
        <w:rPr>
          <w:rFonts w:ascii="Times" w:hAnsi="Times" w:cs="AdvPTimes"/>
        </w:rPr>
        <w:t>. The impact of ocean acidification on larval invertebrates can change in direction and magnitude as the larvae switch from a non-feeding to a feeding stage. The larvae at HighCO</w:t>
      </w:r>
      <w:r w:rsidRPr="0052729A">
        <w:rPr>
          <w:rFonts w:ascii="Times" w:hAnsi="Times" w:cs="AdvPTimes"/>
          <w:vertAlign w:val="subscript"/>
        </w:rPr>
        <w:t>2</w:t>
      </w:r>
      <w:r w:rsidRPr="0052729A">
        <w:rPr>
          <w:rFonts w:ascii="Times" w:hAnsi="Times" w:cs="AdvPTimes"/>
        </w:rPr>
        <w:t xml:space="preserve"> were most likely able to maintain a normal development</w:t>
      </w:r>
      <w:r w:rsidR="00D37AAA" w:rsidRPr="0052729A">
        <w:rPr>
          <w:rFonts w:ascii="Times" w:hAnsi="Times" w:cs="AdvPTimes"/>
        </w:rPr>
        <w:t>al</w:t>
      </w:r>
      <w:r w:rsidRPr="0052729A">
        <w:rPr>
          <w:rFonts w:ascii="Times" w:hAnsi="Times" w:cs="AdvPTimes"/>
        </w:rPr>
        <w:t xml:space="preserve"> rate and calcified s</w:t>
      </w:r>
      <w:r w:rsidR="00D37AAA" w:rsidRPr="0052729A">
        <w:rPr>
          <w:rFonts w:ascii="Times" w:hAnsi="Times" w:cs="AdvPTimes"/>
        </w:rPr>
        <w:t>tructures early in development</w:t>
      </w:r>
      <w:r w:rsidRPr="0052729A">
        <w:rPr>
          <w:rFonts w:ascii="Times" w:hAnsi="Times" w:cs="AdvPTimes"/>
        </w:rPr>
        <w:t xml:space="preserve"> because an increased metabolic rate would have been supported by sufficient maternal energy resources. In early development, </w:t>
      </w:r>
      <w:r w:rsidRPr="0052729A">
        <w:rPr>
          <w:rFonts w:ascii="Times" w:hAnsi="Times" w:cs="AdvPTimes"/>
          <w:i/>
        </w:rPr>
        <w:t>C. gigas</w:t>
      </w:r>
      <w:r w:rsidRPr="0052729A">
        <w:rPr>
          <w:rFonts w:ascii="Times" w:hAnsi="Times" w:cs="AdvPTimes"/>
        </w:rPr>
        <w:t xml:space="preserve"> depend on maternal lipid reserves, but after 24 h in the plankton, the larvae become dependent upon external resources (Gallager et al. 1986). Environmental stress frequently instigates an elevated metabolic rate (Lannig et al. 2010; Stumpp et al. 2011a). During the non-feeding stage, larvae may have enough maternal resources to support their increased metabolic rate and sustain normal or even accelerated growth and development. In the non-feeding lecithotrophic larvae of the common sun star (</w:t>
      </w:r>
      <w:r w:rsidRPr="0052729A">
        <w:rPr>
          <w:rFonts w:ascii="Times" w:hAnsi="Times" w:cs="AdvPTimes"/>
          <w:i/>
        </w:rPr>
        <w:t>Crossaster papposus</w:t>
      </w:r>
      <w:r w:rsidRPr="0052729A">
        <w:rPr>
          <w:rFonts w:ascii="Times" w:hAnsi="Times" w:cs="AdvPTimes"/>
        </w:rPr>
        <w:t>), larvae at low pH developed and grew faster than those in ambient conditions (Dupont et al. 2010).  Once the metabolic switch to external resources occurs, the larvae may not be able to get enough resources to sustain</w:t>
      </w:r>
      <w:r w:rsidR="00A61FA8" w:rsidRPr="0052729A">
        <w:rPr>
          <w:rFonts w:ascii="Times" w:hAnsi="Times" w:cs="AdvPTimes"/>
        </w:rPr>
        <w:t xml:space="preserve"> </w:t>
      </w:r>
      <w:r w:rsidRPr="0052729A">
        <w:rPr>
          <w:rFonts w:ascii="Times" w:hAnsi="Times" w:cs="AdvPTimes"/>
        </w:rPr>
        <w:t>the increased metabolic rate as well as normal development.</w:t>
      </w:r>
      <w:r w:rsidR="00A61FA8" w:rsidRPr="0052729A">
        <w:rPr>
          <w:rFonts w:ascii="Times" w:hAnsi="Times" w:cs="AdvPTimes"/>
        </w:rPr>
        <w:t xml:space="preserve"> </w:t>
      </w:r>
      <w:r w:rsidRPr="0052729A">
        <w:rPr>
          <w:rFonts w:ascii="Times" w:hAnsi="Times" w:cs="AdvPTimes"/>
        </w:rPr>
        <w:t>A similar trend is seen in larval purple sea urchins,</w:t>
      </w:r>
      <w:r w:rsidR="00A61FA8" w:rsidRPr="0052729A">
        <w:rPr>
          <w:rFonts w:ascii="Times" w:hAnsi="Times" w:cs="AdvPTimes"/>
        </w:rPr>
        <w:t xml:space="preserve"> </w:t>
      </w:r>
      <w:r w:rsidRPr="0052729A">
        <w:rPr>
          <w:rFonts w:ascii="Times" w:hAnsi="Times" w:cs="AdvPTimes"/>
          <w:i/>
        </w:rPr>
        <w:t>S. purpuratus</w:t>
      </w:r>
      <w:r w:rsidRPr="0052729A">
        <w:rPr>
          <w:rFonts w:ascii="Times" w:hAnsi="Times" w:cs="AdvPTimes"/>
        </w:rPr>
        <w:t>. Ocean acidification had a larger impact on</w:t>
      </w:r>
      <w:r w:rsidR="00A61FA8" w:rsidRPr="0052729A">
        <w:rPr>
          <w:rFonts w:ascii="Times" w:hAnsi="Times" w:cs="AdvPTimes"/>
        </w:rPr>
        <w:t xml:space="preserve"> </w:t>
      </w:r>
      <w:r w:rsidRPr="0052729A">
        <w:rPr>
          <w:rFonts w:ascii="Times" w:hAnsi="Times" w:cs="AdvPTimes"/>
        </w:rPr>
        <w:t xml:space="preserve">the feeding larval stage of </w:t>
      </w:r>
      <w:r w:rsidRPr="0052729A">
        <w:rPr>
          <w:rFonts w:ascii="Times" w:hAnsi="Times" w:cs="AdvPTimes"/>
          <w:i/>
        </w:rPr>
        <w:t>S. purpuratus</w:t>
      </w:r>
      <w:r w:rsidRPr="0052729A">
        <w:rPr>
          <w:rFonts w:ascii="Times" w:hAnsi="Times" w:cs="AdvPTimes"/>
        </w:rPr>
        <w:t xml:space="preserve"> than it did on</w:t>
      </w:r>
      <w:r w:rsidR="00A61FA8" w:rsidRPr="0052729A">
        <w:rPr>
          <w:rFonts w:ascii="Times" w:hAnsi="Times" w:cs="AdvPTimes"/>
        </w:rPr>
        <w:t xml:space="preserve"> </w:t>
      </w:r>
      <w:r w:rsidRPr="0052729A">
        <w:rPr>
          <w:rFonts w:ascii="Times" w:hAnsi="Times" w:cs="AdvPTimes"/>
        </w:rPr>
        <w:t>the non-feeding stage (Stumpp et al.</w:t>
      </w:r>
      <w:r w:rsidR="00A61FA8" w:rsidRPr="0052729A">
        <w:rPr>
          <w:rFonts w:ascii="Times" w:hAnsi="Times" w:cs="AdvPTimes"/>
        </w:rPr>
        <w:t xml:space="preserve"> </w:t>
      </w:r>
      <w:r w:rsidRPr="0052729A">
        <w:rPr>
          <w:rFonts w:ascii="Times" w:hAnsi="Times" w:cs="AdvPTimes"/>
        </w:rPr>
        <w:t>2011a). Similarly to</w:t>
      </w:r>
      <w:r w:rsidR="00A61FA8" w:rsidRPr="0052729A">
        <w:rPr>
          <w:rFonts w:ascii="Times" w:hAnsi="Times" w:cs="AdvPTimes"/>
        </w:rPr>
        <w:t xml:space="preserve"> </w:t>
      </w:r>
      <w:r w:rsidRPr="0052729A">
        <w:rPr>
          <w:rFonts w:ascii="Times" w:hAnsi="Times" w:cs="AdvPTimes"/>
          <w:i/>
        </w:rPr>
        <w:t>C. gigas</w:t>
      </w:r>
      <w:r w:rsidRPr="0052729A">
        <w:rPr>
          <w:rFonts w:ascii="Times" w:hAnsi="Times" w:cs="AdvPTimes"/>
        </w:rPr>
        <w:t xml:space="preserve">, </w:t>
      </w:r>
      <w:r w:rsidRPr="0052729A">
        <w:rPr>
          <w:rFonts w:ascii="Times" w:hAnsi="Times" w:cs="AdvPTimes"/>
          <w:i/>
        </w:rPr>
        <w:t>S. purpuratus</w:t>
      </w:r>
      <w:r w:rsidRPr="0052729A">
        <w:rPr>
          <w:rFonts w:ascii="Times" w:hAnsi="Times" w:cs="AdvPTimes"/>
        </w:rPr>
        <w:t xml:space="preserve"> demonstrated a developmental</w:t>
      </w:r>
      <w:r w:rsidR="00A61FA8" w:rsidRPr="0052729A">
        <w:rPr>
          <w:rFonts w:ascii="Times" w:hAnsi="Times" w:cs="AdvPTimes"/>
        </w:rPr>
        <w:t xml:space="preserve"> delay starting with the onset of feeding (Stumpp et al. 2011a). At the same time, routine metabolic rate increased in both elevated </w:t>
      </w:r>
      <w:r w:rsidR="00A61FA8" w:rsidRPr="0052729A">
        <w:rPr>
          <w:rFonts w:ascii="Times" w:hAnsi="Times" w:cs="AdvPTimes"/>
          <w:i/>
        </w:rPr>
        <w:t>p</w:t>
      </w:r>
      <w:r w:rsidR="00A61FA8" w:rsidRPr="0052729A">
        <w:rPr>
          <w:rFonts w:ascii="Times" w:hAnsi="Times" w:cs="AdvPTimes"/>
        </w:rPr>
        <w:t>CO</w:t>
      </w:r>
      <w:r w:rsidR="00A61FA8" w:rsidRPr="0052729A">
        <w:rPr>
          <w:rFonts w:ascii="Times" w:hAnsi="Times" w:cs="AdvPTimes"/>
          <w:vertAlign w:val="subscript"/>
        </w:rPr>
        <w:t>2</w:t>
      </w:r>
      <w:r w:rsidR="00A61FA8" w:rsidRPr="0052729A">
        <w:rPr>
          <w:rFonts w:ascii="Times" w:hAnsi="Times" w:cs="AdvPTimes"/>
        </w:rPr>
        <w:t xml:space="preserve"> and ambient treatment, but increased more at low pH (Stumpp et al. 2011a). The results from these studies suggest that the maintenance of homeostasis becomes more difficult under the energetic demands of ocean acidification stress; however, the physiological stress is realized as developmental delay, with associated phenotypes of less shell and smaller size, only when larvae are</w:t>
      </w:r>
      <w:r w:rsidR="00D37AAA" w:rsidRPr="0052729A">
        <w:rPr>
          <w:rFonts w:ascii="Times" w:hAnsi="Times" w:cs="AdvPTimes"/>
        </w:rPr>
        <w:t xml:space="preserve"> </w:t>
      </w:r>
      <w:r w:rsidR="00A61FA8" w:rsidRPr="0052729A">
        <w:rPr>
          <w:rFonts w:ascii="Times" w:hAnsi="Times" w:cs="AdvPTimes"/>
        </w:rPr>
        <w:t>in a feeding stage. Reallocation of resources associated with invertebrate responses to ocean acidification has been shown to affect several processes, including as soft tissue growth (Gaylord et al. 2011; Beniash et al. 2010), scope for growth (Stumpp et al. 2011a), and shell integrity (Gaylord</w:t>
      </w:r>
      <w:r w:rsidR="00D37AAA" w:rsidRPr="0052729A">
        <w:rPr>
          <w:rFonts w:ascii="Times" w:hAnsi="Times" w:cs="AdvPTimes"/>
        </w:rPr>
        <w:t xml:space="preserve"> </w:t>
      </w:r>
      <w:r w:rsidR="00A61FA8" w:rsidRPr="0052729A">
        <w:rPr>
          <w:rFonts w:ascii="Times" w:hAnsi="Times" w:cs="AdvPTimes"/>
        </w:rPr>
        <w:t>et al. 2011; Melzner et al. 2011).</w:t>
      </w:r>
    </w:p>
    <w:p w14:paraId="6518D82B" w14:textId="03E5388D" w:rsidR="00A61FA8" w:rsidRPr="0052729A" w:rsidRDefault="00A61FA8"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 xml:space="preserve">Larval shell formation is closely linked to development and begins by 24 h post-fertilization. Numerous species experience decreased calcification when water is undersaturated with respect to aragonite (Kurihara et al. 2007; Miller et al. 2009; Crim et al. 2011; Gazeau et al. 2011; Byrne et al. 2010a, b), although some species are still able to form apparently normal calcified structures in undersaturated conditions (Dupont et al. 2010; Catarino et al. 2011; Yu et al. 2011). Early </w:t>
      </w:r>
      <w:r w:rsidRPr="0052729A">
        <w:rPr>
          <w:rFonts w:ascii="Times" w:hAnsi="Times" w:cs="AdvPTimes"/>
          <w:i/>
        </w:rPr>
        <w:t>C. gigas</w:t>
      </w:r>
      <w:r w:rsidRPr="0052729A">
        <w:rPr>
          <w:rFonts w:ascii="Times" w:hAnsi="Times" w:cs="AdvPTimes"/>
        </w:rPr>
        <w:t xml:space="preserve"> larval shells are made of amorphous calcium carbonate and aragonite (Weiss et al. 2002), two of the more soluble forms of CaCO</w:t>
      </w:r>
      <w:r w:rsidRPr="0052729A">
        <w:rPr>
          <w:rFonts w:ascii="Times" w:hAnsi="Times" w:cs="AdvPTimes"/>
          <w:vertAlign w:val="subscript"/>
        </w:rPr>
        <w:t>3</w:t>
      </w:r>
      <w:r w:rsidRPr="0052729A">
        <w:rPr>
          <w:rFonts w:ascii="Times" w:hAnsi="Times" w:cs="AdvPTimes"/>
        </w:rPr>
        <w:t xml:space="preserve"> at low pH. Invertebrates are able to control calcification through amorphous mineral precursors and metabolites (Weiss 2011), thus decreasing the potential effects of a corrosive</w:t>
      </w:r>
      <w:r w:rsidR="00D37AAA" w:rsidRPr="0052729A">
        <w:rPr>
          <w:rFonts w:ascii="Times" w:hAnsi="Times" w:cs="AdvPTimes"/>
        </w:rPr>
        <w:t xml:space="preserve"> environment. On days 1 and 2, Ω</w:t>
      </w:r>
      <w:r w:rsidRPr="0052729A">
        <w:rPr>
          <w:rFonts w:ascii="Times" w:hAnsi="Times" w:cs="AdvPTimes"/>
          <w:vertAlign w:val="subscript"/>
        </w:rPr>
        <w:t>Ar</w:t>
      </w:r>
      <w:r w:rsidRPr="0052729A">
        <w:rPr>
          <w:rFonts w:ascii="Times" w:hAnsi="Times" w:cs="AdvPTimes"/>
        </w:rPr>
        <w:t xml:space="preserve"> was below 1.0, causing the seawater to be undersaturated with respect to aragonite. Calcification can become energetically costly</w:t>
      </w:r>
      <w:r w:rsidR="00D37AAA" w:rsidRPr="0052729A">
        <w:rPr>
          <w:rFonts w:ascii="Times" w:hAnsi="Times" w:cs="AdvPTimes"/>
        </w:rPr>
        <w:t xml:space="preserve"> </w:t>
      </w:r>
      <w:r w:rsidRPr="0052729A">
        <w:rPr>
          <w:rFonts w:ascii="Times" w:hAnsi="Times" w:cs="AdvPTimes"/>
        </w:rPr>
        <w:t>due to scarcity of CO</w:t>
      </w:r>
      <w:r w:rsidRPr="0052729A">
        <w:rPr>
          <w:rFonts w:ascii="Times" w:hAnsi="Times" w:cs="AdvPTimes"/>
          <w:vertAlign w:val="subscript"/>
        </w:rPr>
        <w:t>3</w:t>
      </w:r>
      <w:r w:rsidRPr="0052729A">
        <w:rPr>
          <w:rFonts w:ascii="Times" w:hAnsi="Times" w:cs="AdvPTimes"/>
          <w:vertAlign w:val="superscript"/>
        </w:rPr>
        <w:t>2-</w:t>
      </w:r>
      <w:r w:rsidRPr="0052729A">
        <w:rPr>
          <w:rFonts w:ascii="Times" w:hAnsi="Times" w:cs="AdvPTimes"/>
        </w:rPr>
        <w:t xml:space="preserve"> ions in the environment and disruption of ionic gradients of the calcifyin</w:t>
      </w:r>
      <w:r w:rsidR="00D37AAA" w:rsidRPr="0052729A">
        <w:rPr>
          <w:rFonts w:ascii="Times" w:hAnsi="Times" w:cs="AdvPTimes"/>
        </w:rPr>
        <w:t>g compartment from changes in H</w:t>
      </w:r>
      <w:r w:rsidR="00D37AAA" w:rsidRPr="0052729A">
        <w:rPr>
          <w:rFonts w:ascii="Times" w:hAnsi="Times" w:cs="AdvPTimes"/>
          <w:vertAlign w:val="superscript"/>
        </w:rPr>
        <w:t>+</w:t>
      </w:r>
      <w:r w:rsidRPr="0052729A">
        <w:rPr>
          <w:rFonts w:ascii="Times" w:hAnsi="Times" w:cs="AdvPTimes"/>
        </w:rPr>
        <w:t>. If oyster la</w:t>
      </w:r>
      <w:r w:rsidR="00D37AAA" w:rsidRPr="0052729A">
        <w:rPr>
          <w:rFonts w:ascii="Times" w:hAnsi="Times" w:cs="AdvPTimes"/>
        </w:rPr>
        <w:t>rvae remove a fixed number of H</w:t>
      </w:r>
      <w:r w:rsidR="00D37AAA" w:rsidRPr="0052729A">
        <w:rPr>
          <w:rFonts w:ascii="Times" w:hAnsi="Times" w:cs="AdvPTimes"/>
          <w:vertAlign w:val="superscript"/>
        </w:rPr>
        <w:t>+</w:t>
      </w:r>
      <w:r w:rsidRPr="0052729A">
        <w:rPr>
          <w:rFonts w:ascii="Times" w:hAnsi="Times" w:cs="AdvPTimes"/>
        </w:rPr>
        <w:t xml:space="preserve"> from their calcifying fluid versus maintaining a fixed ratio o</w:t>
      </w:r>
      <w:r w:rsidR="00D37AAA" w:rsidRPr="0052729A">
        <w:rPr>
          <w:rFonts w:ascii="Times" w:hAnsi="Times" w:cs="AdvPTimes"/>
        </w:rPr>
        <w:t>f extracellular/intracellular H</w:t>
      </w:r>
      <w:r w:rsidR="00D37AAA" w:rsidRPr="0052729A">
        <w:rPr>
          <w:rFonts w:ascii="Times" w:hAnsi="Times" w:cs="AdvPTimes"/>
          <w:vertAlign w:val="superscript"/>
        </w:rPr>
        <w:t>+</w:t>
      </w:r>
      <w:r w:rsidRPr="0052729A">
        <w:rPr>
          <w:rFonts w:ascii="Times" w:hAnsi="Times" w:cs="AdvPTimes"/>
        </w:rPr>
        <w:t>, then their energy budget would be more taxed during environmental hypercapnia (Ries 2011). This added stress on the process of calcification could have contributed to the energy budget shifts that led to a developmental delay.</w:t>
      </w:r>
    </w:p>
    <w:p w14:paraId="37F5AF17" w14:textId="6B7D45F4" w:rsidR="00A61FA8" w:rsidRPr="0052729A" w:rsidRDefault="00A61FA8"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 xml:space="preserve">In this study, </w:t>
      </w:r>
      <w:r w:rsidRPr="0052729A">
        <w:rPr>
          <w:rFonts w:ascii="Times" w:hAnsi="Times" w:cs="AdvPTimes"/>
          <w:i/>
        </w:rPr>
        <w:t>C. gigas</w:t>
      </w:r>
      <w:r w:rsidRPr="0052729A">
        <w:rPr>
          <w:rFonts w:ascii="Times" w:hAnsi="Times" w:cs="AdvPTimes"/>
        </w:rPr>
        <w:t xml:space="preserve"> tolerated the MidCO</w:t>
      </w:r>
      <w:r w:rsidRPr="0052729A">
        <w:rPr>
          <w:rFonts w:ascii="Times" w:hAnsi="Times" w:cs="AdvPTimes"/>
          <w:vertAlign w:val="subscript"/>
        </w:rPr>
        <w:t>2</w:t>
      </w:r>
      <w:r w:rsidRPr="0052729A">
        <w:rPr>
          <w:rFonts w:ascii="Times" w:hAnsi="Times" w:cs="AdvPTimes"/>
        </w:rPr>
        <w:t xml:space="preserve"> treatment through 3 days post-fertilization. The lack of negative effects on shell formation and maintenance in the larvae from the MidCO</w:t>
      </w:r>
      <w:r w:rsidRPr="0052729A">
        <w:rPr>
          <w:rFonts w:ascii="Times" w:hAnsi="Times" w:cs="AdvPTimes"/>
          <w:vertAlign w:val="subscript"/>
        </w:rPr>
        <w:t>2</w:t>
      </w:r>
      <w:r w:rsidRPr="0052729A">
        <w:rPr>
          <w:rFonts w:ascii="Times" w:hAnsi="Times" w:cs="AdvPTimes"/>
        </w:rPr>
        <w:t xml:space="preserve"> treatm</w:t>
      </w:r>
      <w:r w:rsidR="00D37AAA" w:rsidRPr="0052729A">
        <w:rPr>
          <w:rFonts w:ascii="Times" w:hAnsi="Times" w:cs="AdvPTimes"/>
        </w:rPr>
        <w:t>ent suggests that a cut-off of Ω</w:t>
      </w:r>
      <w:r w:rsidRPr="0052729A">
        <w:rPr>
          <w:rFonts w:ascii="Times" w:hAnsi="Times" w:cs="AdvPTimes"/>
          <w:vertAlign w:val="subscript"/>
        </w:rPr>
        <w:t>Ar</w:t>
      </w:r>
      <w:r w:rsidR="00D37AAA" w:rsidRPr="0052729A">
        <w:rPr>
          <w:rFonts w:ascii="Times" w:hAnsi="Times" w:cs="AdvPTimes"/>
        </w:rPr>
        <w:t xml:space="preserve"> &lt; </w:t>
      </w:r>
      <w:r w:rsidRPr="0052729A">
        <w:rPr>
          <w:rFonts w:ascii="Times" w:hAnsi="Times" w:cs="AdvPTimes"/>
        </w:rPr>
        <w:t xml:space="preserve">1.0 is significant in terms of the ability of this population to biomineralize at this time point in development. It is also possible that the high level of food available to the larvae modulated the impact of ocean acidification and could have led to an underestimation its effect in this treatment (Melzner et al. 2011). An elevated </w:t>
      </w:r>
      <w:r w:rsidRPr="0052729A">
        <w:rPr>
          <w:rFonts w:ascii="Times" w:hAnsi="Times" w:cs="AdvPTimes"/>
          <w:i/>
        </w:rPr>
        <w:t>p</w:t>
      </w:r>
      <w:r w:rsidRPr="0052729A">
        <w:rPr>
          <w:rFonts w:ascii="Times" w:hAnsi="Times" w:cs="AdvPTimes"/>
        </w:rPr>
        <w:t>CO</w:t>
      </w:r>
      <w:r w:rsidRPr="0052729A">
        <w:rPr>
          <w:rFonts w:ascii="Times" w:hAnsi="Times" w:cs="AdvPTimes"/>
          <w:vertAlign w:val="subscript"/>
        </w:rPr>
        <w:t>2</w:t>
      </w:r>
      <w:r w:rsidR="00D37AAA" w:rsidRPr="0052729A">
        <w:rPr>
          <w:rFonts w:ascii="Times" w:hAnsi="Times" w:cs="AdvPTimes"/>
        </w:rPr>
        <w:t xml:space="preserve"> of 750 μatm (Ω</w:t>
      </w:r>
      <w:r w:rsidRPr="0052729A">
        <w:rPr>
          <w:rFonts w:ascii="Times" w:hAnsi="Times" w:cs="AdvPTimes"/>
          <w:vertAlign w:val="subscript"/>
        </w:rPr>
        <w:t>Ar</w:t>
      </w:r>
      <w:r w:rsidRPr="0052729A">
        <w:rPr>
          <w:rFonts w:ascii="Times" w:hAnsi="Times" w:cs="AdvPTimes"/>
        </w:rPr>
        <w:t xml:space="preserve"> of about 1.0) had significant negative effects on hard clam (</w:t>
      </w:r>
      <w:r w:rsidRPr="0052729A">
        <w:rPr>
          <w:rFonts w:ascii="Times" w:hAnsi="Times" w:cs="AdvPTimes"/>
          <w:i/>
        </w:rPr>
        <w:t>Mercenaria mercenaria</w:t>
      </w:r>
      <w:r w:rsidRPr="0052729A">
        <w:rPr>
          <w:rFonts w:ascii="Times" w:hAnsi="Times" w:cs="AdvPTimes"/>
        </w:rPr>
        <w:t xml:space="preserve">) and bay scallop </w:t>
      </w:r>
      <w:r w:rsidRPr="0052729A">
        <w:rPr>
          <w:rFonts w:ascii="Times" w:hAnsi="Times" w:cs="Times New Roman"/>
        </w:rPr>
        <w:t>(</w:t>
      </w:r>
      <w:r w:rsidRPr="0052729A">
        <w:rPr>
          <w:rFonts w:ascii="Times" w:hAnsi="Times" w:cs="Times New Roman"/>
          <w:i/>
        </w:rPr>
        <w:t>Argopecten irradians</w:t>
      </w:r>
      <w:r w:rsidRPr="0052729A">
        <w:rPr>
          <w:rFonts w:ascii="Times" w:hAnsi="Times" w:cs="Times New Roman"/>
        </w:rPr>
        <w:t>) larvae after about 3 weeks of</w:t>
      </w:r>
      <w:r w:rsidRPr="0052729A">
        <w:rPr>
          <w:rFonts w:ascii="Times" w:hAnsi="Times" w:cs="AdvPTimes"/>
        </w:rPr>
        <w:t xml:space="preserve"> </w:t>
      </w:r>
      <w:r w:rsidRPr="0052729A">
        <w:rPr>
          <w:rFonts w:ascii="Times" w:hAnsi="Times" w:cs="Times New Roman"/>
        </w:rPr>
        <w:t>exposure as evidenced by decreased survival, development,</w:t>
      </w:r>
      <w:r w:rsidRPr="0052729A">
        <w:rPr>
          <w:rFonts w:ascii="Times" w:hAnsi="Times" w:cs="AdvPTimes"/>
        </w:rPr>
        <w:t xml:space="preserve"> </w:t>
      </w:r>
      <w:r w:rsidRPr="0052729A">
        <w:rPr>
          <w:rFonts w:ascii="Times" w:hAnsi="Times" w:cs="Times New Roman"/>
        </w:rPr>
        <w:t>growth, and lipid synthesis (Talmage and Gobler 2011).</w:t>
      </w:r>
      <w:r w:rsidRPr="0052729A">
        <w:rPr>
          <w:rFonts w:ascii="Times" w:hAnsi="Times" w:cs="AdvPTimes"/>
        </w:rPr>
        <w:t xml:space="preserve">  </w:t>
      </w:r>
      <w:r w:rsidRPr="0052729A">
        <w:rPr>
          <w:rFonts w:ascii="Times" w:hAnsi="Times" w:cs="Times New Roman"/>
        </w:rPr>
        <w:t>The comparable exposu</w:t>
      </w:r>
      <w:r w:rsidR="00D37AAA" w:rsidRPr="0052729A">
        <w:rPr>
          <w:rFonts w:ascii="Times" w:hAnsi="Times" w:cs="Times New Roman"/>
        </w:rPr>
        <w:t>re conditions in our study (Mid</w:t>
      </w:r>
      <w:r w:rsidRPr="0052729A">
        <w:rPr>
          <w:rFonts w:ascii="Times" w:hAnsi="Times" w:cs="Times New Roman"/>
        </w:rPr>
        <w:t>CO</w:t>
      </w:r>
      <w:r w:rsidRPr="0052729A">
        <w:rPr>
          <w:rFonts w:ascii="Times" w:hAnsi="Times" w:cs="Times New Roman"/>
          <w:vertAlign w:val="subscript"/>
        </w:rPr>
        <w:t>2</w:t>
      </w:r>
      <w:r w:rsidRPr="0052729A">
        <w:rPr>
          <w:rFonts w:ascii="Times" w:hAnsi="Times" w:cs="Times New Roman"/>
        </w:rPr>
        <w:t xml:space="preserve">) did not have a negative impact over the time period observed. Due to the similarities of carbonate chemistry parameters with Talmage and Gobler (2011), the differential responses observed across species are likely indicative of variability in species, developmental stage tolerances, or length of exposure. Longer experiments in larvae have demonstrated that the negative effects of ocean acidification persist and sometimes worsen in mussels </w:t>
      </w:r>
      <w:r w:rsidRPr="0052729A">
        <w:rPr>
          <w:rFonts w:ascii="Times" w:hAnsi="Times" w:cs="Times New Roman"/>
          <w:i/>
        </w:rPr>
        <w:t>M. californianus</w:t>
      </w:r>
      <w:r w:rsidRPr="0052729A">
        <w:rPr>
          <w:rFonts w:ascii="Times" w:hAnsi="Times" w:cs="Times New Roman"/>
        </w:rPr>
        <w:t xml:space="preserve"> (Gaylord et al. 2011), urchins </w:t>
      </w:r>
      <w:r w:rsidRPr="0052729A">
        <w:rPr>
          <w:rFonts w:ascii="Times" w:hAnsi="Times" w:cs="Times New Roman"/>
          <w:i/>
        </w:rPr>
        <w:t>S. purpuratus</w:t>
      </w:r>
      <w:r w:rsidRPr="0052729A">
        <w:rPr>
          <w:rFonts w:ascii="Times" w:hAnsi="Times" w:cs="Times New Roman"/>
        </w:rPr>
        <w:t xml:space="preserve"> (Stumpp et al. 2011a, b), abalone </w:t>
      </w:r>
      <w:r w:rsidRPr="0052729A">
        <w:rPr>
          <w:rFonts w:ascii="Times" w:hAnsi="Times" w:cs="Times New Roman"/>
          <w:i/>
        </w:rPr>
        <w:t>Haliotis kamtschatkana</w:t>
      </w:r>
      <w:r w:rsidRPr="0052729A">
        <w:rPr>
          <w:rFonts w:ascii="Times" w:hAnsi="Times" w:cs="Times New Roman"/>
        </w:rPr>
        <w:t xml:space="preserve"> (Crim et al. 2011), and oysters, </w:t>
      </w:r>
      <w:r w:rsidRPr="0052729A">
        <w:rPr>
          <w:rFonts w:ascii="Times" w:hAnsi="Times" w:cs="Times New Roman"/>
          <w:i/>
        </w:rPr>
        <w:t>Crassostrea ariakensis</w:t>
      </w:r>
      <w:r w:rsidRPr="0052729A">
        <w:rPr>
          <w:rFonts w:ascii="Times" w:hAnsi="Times" w:cs="Times New Roman"/>
        </w:rPr>
        <w:t xml:space="preserve"> and </w:t>
      </w:r>
      <w:r w:rsidRPr="0052729A">
        <w:rPr>
          <w:rFonts w:ascii="Times" w:hAnsi="Times" w:cs="Times New Roman"/>
          <w:i/>
        </w:rPr>
        <w:t>C. virginica</w:t>
      </w:r>
      <w:r w:rsidRPr="0052729A">
        <w:rPr>
          <w:rFonts w:ascii="Times" w:hAnsi="Times" w:cs="Times New Roman"/>
        </w:rPr>
        <w:t xml:space="preserve"> (Miller et al. 2009). The compounding negative effects of ocean acidification during an experiment may be due to a species’ decreasing ability to tolerate a specific environmental stress as their metabolic needs change throughout development.</w:t>
      </w:r>
    </w:p>
    <w:p w14:paraId="06E71E51" w14:textId="77777777" w:rsidR="00E01B09" w:rsidRPr="0052729A" w:rsidRDefault="00E01B09" w:rsidP="00E01B09">
      <w:pPr>
        <w:pStyle w:val="Heading2"/>
      </w:pPr>
      <w:bookmarkStart w:id="27" w:name="_Toc257278781"/>
      <w:r w:rsidRPr="0052729A">
        <w:t>Conclusions</w:t>
      </w:r>
      <w:bookmarkEnd w:id="27"/>
    </w:p>
    <w:p w14:paraId="1736C767" w14:textId="77777777" w:rsidR="005643FD" w:rsidRPr="0052729A" w:rsidRDefault="005643FD" w:rsidP="005643FD"/>
    <w:p w14:paraId="6B82C152" w14:textId="59C3AB0C" w:rsidR="00C02D9B" w:rsidRDefault="00A61FA8" w:rsidP="00426D9F">
      <w:pPr>
        <w:widowControl w:val="0"/>
        <w:autoSpaceDE w:val="0"/>
        <w:autoSpaceDN w:val="0"/>
        <w:adjustRightInd w:val="0"/>
        <w:spacing w:line="360" w:lineRule="auto"/>
        <w:ind w:firstLine="720"/>
        <w:rPr>
          <w:rFonts w:ascii="Times" w:hAnsi="Times" w:cs="AdvPTimes"/>
        </w:rPr>
      </w:pPr>
      <w:r w:rsidRPr="0052729A">
        <w:rPr>
          <w:rFonts w:ascii="Times" w:hAnsi="Times" w:cs="AdvPTimes"/>
        </w:rPr>
        <w:t>In this study, we observed that an acute, 72-h exposure to the end-of-century projections of ocean acidification (HighCO</w:t>
      </w:r>
      <w:r w:rsidRPr="0052729A">
        <w:rPr>
          <w:rFonts w:ascii="Times" w:hAnsi="Times" w:cs="AdvPTimes"/>
          <w:vertAlign w:val="subscript"/>
        </w:rPr>
        <w:t>2</w:t>
      </w:r>
      <w:r w:rsidRPr="0052729A">
        <w:rPr>
          <w:rFonts w:ascii="Times" w:hAnsi="Times" w:cs="AdvPTimes"/>
        </w:rPr>
        <w:t>) has a negative impact on development in oyster larvae. Additionally, this study revealed that moderate changes in seawater chemistry (MidCO</w:t>
      </w:r>
      <w:r w:rsidRPr="0052729A">
        <w:rPr>
          <w:rFonts w:ascii="Times" w:hAnsi="Times" w:cs="AdvPTimes"/>
          <w:vertAlign w:val="subscript"/>
        </w:rPr>
        <w:t>2</w:t>
      </w:r>
      <w:r w:rsidR="00D37AAA" w:rsidRPr="0052729A">
        <w:rPr>
          <w:rFonts w:ascii="Times" w:hAnsi="Times" w:cs="AdvPTimes"/>
        </w:rPr>
        <w:t>, about 800 μatm, mean Ω</w:t>
      </w:r>
      <w:r w:rsidRPr="0052729A">
        <w:rPr>
          <w:rFonts w:ascii="Times" w:hAnsi="Times" w:cs="AdvPTimes"/>
          <w:vertAlign w:val="subscript"/>
        </w:rPr>
        <w:t>Ar</w:t>
      </w:r>
      <w:r w:rsidR="00D37AAA" w:rsidRPr="0052729A">
        <w:rPr>
          <w:rFonts w:ascii="Times" w:hAnsi="Times" w:cs="AdvPTimes"/>
        </w:rPr>
        <w:t xml:space="preserve"> &gt; </w:t>
      </w:r>
      <w:r w:rsidRPr="0052729A">
        <w:rPr>
          <w:rFonts w:ascii="Times" w:hAnsi="Times" w:cs="AdvPTimes"/>
        </w:rPr>
        <w:t xml:space="preserve">1.19 ± 0.10) did not have an observed significant impact on larvae through 3 days post-fertilization. It appears the effects of an environmental stress, such as ocean acidification, vary depending on developmental and metabolic stage of </w:t>
      </w:r>
      <w:r w:rsidRPr="0052729A">
        <w:rPr>
          <w:rFonts w:ascii="Times" w:hAnsi="Times" w:cs="AdvPTimes"/>
          <w:i/>
        </w:rPr>
        <w:t>C. gigas</w:t>
      </w:r>
      <w:r w:rsidRPr="0052729A">
        <w:rPr>
          <w:rFonts w:ascii="Times" w:hAnsi="Times" w:cs="AdvPTimes"/>
        </w:rPr>
        <w:t xml:space="preserve"> larvae. This is most likely directly associated with a switch in larval energy metabolism as the oysters develop from a non-feeding stage to a feeding stage. In order to effectively evaluate the possibility of acclimation or adaptation, future research should focus on characterizing larvae from diverse genotypes and locations as well as assessing any influences that might be experienced later in development.</w:t>
      </w:r>
    </w:p>
    <w:p w14:paraId="37CD9D97" w14:textId="77777777" w:rsidR="008014F1" w:rsidRDefault="008014F1" w:rsidP="008014F1">
      <w:pPr>
        <w:widowControl w:val="0"/>
        <w:autoSpaceDE w:val="0"/>
        <w:autoSpaceDN w:val="0"/>
        <w:adjustRightInd w:val="0"/>
        <w:spacing w:line="360" w:lineRule="auto"/>
        <w:rPr>
          <w:rFonts w:ascii="Times" w:hAnsi="Times" w:cs="AdvPTimes"/>
        </w:rPr>
      </w:pPr>
    </w:p>
    <w:p w14:paraId="66238245" w14:textId="7B4977CA" w:rsidR="008014F1" w:rsidRDefault="008014F1" w:rsidP="008014F1">
      <w:pPr>
        <w:pStyle w:val="Heading2"/>
      </w:pPr>
      <w:bookmarkStart w:id="28" w:name="_Toc257278782"/>
      <w:r>
        <w:t>Tables</w:t>
      </w:r>
      <w:bookmarkEnd w:id="28"/>
    </w:p>
    <w:p w14:paraId="7DB0D05A" w14:textId="77777777" w:rsidR="008014F1" w:rsidRPr="008014F1" w:rsidRDefault="008014F1" w:rsidP="008014F1"/>
    <w:p w14:paraId="32E5755B" w14:textId="27D3E21A" w:rsidR="008014F1" w:rsidRDefault="008014F1" w:rsidP="008014F1">
      <w:pPr>
        <w:widowControl w:val="0"/>
        <w:autoSpaceDE w:val="0"/>
        <w:autoSpaceDN w:val="0"/>
        <w:adjustRightInd w:val="0"/>
        <w:spacing w:line="360" w:lineRule="auto"/>
        <w:rPr>
          <w:rFonts w:ascii="Times" w:hAnsi="Times" w:cs="AdvPTimes"/>
          <w:color w:val="000000"/>
        </w:rPr>
      </w:pPr>
      <w:r>
        <w:rPr>
          <w:rFonts w:ascii="Times" w:hAnsi="Times" w:cs="AdvPTimes"/>
          <w:color w:val="000000"/>
        </w:rPr>
        <w:t>Table I.1. Salinity, total alkalinity (A</w:t>
      </w:r>
      <w:r w:rsidRPr="0059047D">
        <w:rPr>
          <w:rFonts w:ascii="Times" w:hAnsi="Times" w:cs="AdvPTimes"/>
          <w:color w:val="000000"/>
          <w:vertAlign w:val="subscript"/>
        </w:rPr>
        <w:t>T</w:t>
      </w:r>
      <w:r>
        <w:rPr>
          <w:rFonts w:ascii="Times" w:hAnsi="Times" w:cs="AdvPTimes"/>
          <w:color w:val="000000"/>
        </w:rPr>
        <w:t>), and spectrophotometric pH are point measurements taken each day.  Partial pressure CO</w:t>
      </w:r>
      <w:r w:rsidRPr="0059047D">
        <w:rPr>
          <w:rFonts w:ascii="Times" w:hAnsi="Times" w:cs="AdvPTimes"/>
          <w:color w:val="000000"/>
          <w:vertAlign w:val="subscript"/>
        </w:rPr>
        <w:t>2</w:t>
      </w:r>
      <w:r>
        <w:rPr>
          <w:rFonts w:ascii="Times" w:hAnsi="Times" w:cs="AdvPTimes"/>
          <w:color w:val="000000"/>
        </w:rPr>
        <w:t>, Ω, and CO</w:t>
      </w:r>
      <w:r w:rsidRPr="0059047D">
        <w:rPr>
          <w:rFonts w:ascii="Times" w:hAnsi="Times" w:cs="AdvPTimes"/>
          <w:color w:val="000000"/>
          <w:vertAlign w:val="subscript"/>
        </w:rPr>
        <w:t>3</w:t>
      </w:r>
      <w:r w:rsidRPr="0059047D">
        <w:rPr>
          <w:rFonts w:ascii="Times" w:hAnsi="Times" w:cs="AdvPTimes"/>
          <w:color w:val="000000"/>
          <w:vertAlign w:val="superscript"/>
        </w:rPr>
        <w:t>2-</w:t>
      </w:r>
      <w:r>
        <w:rPr>
          <w:rFonts w:ascii="Times" w:hAnsi="Times" w:cs="AdvPTimes"/>
          <w:color w:val="000000"/>
        </w:rPr>
        <w:t xml:space="preserve"> were calculated from spectrophotometric pH and A</w:t>
      </w:r>
      <w:r w:rsidRPr="0059047D">
        <w:rPr>
          <w:rFonts w:ascii="Times" w:hAnsi="Times" w:cs="AdvPTimes"/>
          <w:color w:val="000000"/>
          <w:vertAlign w:val="subscript"/>
        </w:rPr>
        <w:t>T</w:t>
      </w:r>
      <w:r>
        <w:rPr>
          <w:rFonts w:ascii="Times" w:hAnsi="Times" w:cs="AdvPTimes"/>
          <w:color w:val="000000"/>
        </w:rPr>
        <w:t>.  Mean and standard deviation (μ±SD) for the following parameters are given for all 3 days: temperature, salinity, A</w:t>
      </w:r>
      <w:r w:rsidRPr="0059047D">
        <w:rPr>
          <w:rFonts w:ascii="Times" w:hAnsi="Times" w:cs="AdvPTimes"/>
          <w:color w:val="000000"/>
          <w:vertAlign w:val="subscript"/>
        </w:rPr>
        <w:t>T</w:t>
      </w:r>
      <w:r>
        <w:rPr>
          <w:rFonts w:ascii="Times" w:hAnsi="Times" w:cs="AdvPTimes"/>
          <w:color w:val="000000"/>
        </w:rPr>
        <w:t xml:space="preserve">,  pH, </w:t>
      </w:r>
      <w:r w:rsidRPr="0059047D">
        <w:rPr>
          <w:rFonts w:ascii="Times" w:hAnsi="Times" w:cs="AdvPTimes"/>
          <w:i/>
          <w:color w:val="000000"/>
        </w:rPr>
        <w:t>p</w:t>
      </w:r>
      <w:r>
        <w:rPr>
          <w:rFonts w:ascii="Times" w:hAnsi="Times" w:cs="AdvPTimes"/>
          <w:color w:val="000000"/>
        </w:rPr>
        <w:t>CO</w:t>
      </w:r>
      <w:r w:rsidRPr="0059047D">
        <w:rPr>
          <w:rFonts w:ascii="Times" w:hAnsi="Times" w:cs="AdvPTimes"/>
          <w:color w:val="000000"/>
          <w:vertAlign w:val="subscript"/>
        </w:rPr>
        <w:t>2</w:t>
      </w:r>
      <w:r>
        <w:rPr>
          <w:rFonts w:ascii="Times" w:hAnsi="Times" w:cs="AdvPTimes"/>
          <w:color w:val="000000"/>
        </w:rPr>
        <w:t>,  and CO</w:t>
      </w:r>
      <w:r w:rsidRPr="0059047D">
        <w:rPr>
          <w:rFonts w:ascii="Times" w:hAnsi="Times" w:cs="AdvPTimes"/>
          <w:color w:val="000000"/>
          <w:vertAlign w:val="subscript"/>
        </w:rPr>
        <w:t>3</w:t>
      </w:r>
      <w:r w:rsidRPr="0059047D">
        <w:rPr>
          <w:rFonts w:ascii="Times" w:hAnsi="Times" w:cs="AdvPTimes"/>
          <w:color w:val="000000"/>
          <w:vertAlign w:val="superscript"/>
        </w:rPr>
        <w:t>2-</w:t>
      </w:r>
      <w:r>
        <w:rPr>
          <w:rFonts w:ascii="Times" w:hAnsi="Times" w:cs="AdvPTimes"/>
          <w:color w:val="000000"/>
        </w:rPr>
        <w:t>.</w:t>
      </w:r>
    </w:p>
    <w:p w14:paraId="4826693B" w14:textId="049FD5AD" w:rsidR="008014F1" w:rsidRDefault="008014F1" w:rsidP="008014F1">
      <w:pPr>
        <w:widowControl w:val="0"/>
        <w:autoSpaceDE w:val="0"/>
        <w:autoSpaceDN w:val="0"/>
        <w:adjustRightInd w:val="0"/>
        <w:spacing w:line="360" w:lineRule="auto"/>
        <w:rPr>
          <w:rFonts w:ascii="Times" w:hAnsi="Times" w:cs="AdvPTimes"/>
        </w:rPr>
      </w:pPr>
      <w:r>
        <w:rPr>
          <w:rFonts w:ascii="Times" w:hAnsi="Times" w:cs="AdvPTimes"/>
          <w:noProof/>
          <w:lang w:eastAsia="en-US"/>
        </w:rPr>
        <w:drawing>
          <wp:inline distT="0" distB="0" distL="0" distR="0" wp14:anchorId="02D50E24" wp14:editId="30851CDB">
            <wp:extent cx="5486400" cy="2018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7">
                      <a:extLst>
                        <a:ext uri="{28A0092B-C50C-407E-A947-70E740481C1C}">
                          <a14:useLocalDpi xmlns:a14="http://schemas.microsoft.com/office/drawing/2010/main" val="0"/>
                        </a:ext>
                      </a:extLst>
                    </a:blip>
                    <a:stretch>
                      <a:fillRect/>
                    </a:stretch>
                  </pic:blipFill>
                  <pic:spPr>
                    <a:xfrm>
                      <a:off x="0" y="0"/>
                      <a:ext cx="5486400" cy="2018030"/>
                    </a:xfrm>
                    <a:prstGeom prst="rect">
                      <a:avLst/>
                    </a:prstGeom>
                  </pic:spPr>
                </pic:pic>
              </a:graphicData>
            </a:graphic>
          </wp:inline>
        </w:drawing>
      </w:r>
    </w:p>
    <w:p w14:paraId="5DEB5F1F" w14:textId="77777777" w:rsidR="008014F1" w:rsidRDefault="008014F1" w:rsidP="008014F1">
      <w:pPr>
        <w:widowControl w:val="0"/>
        <w:autoSpaceDE w:val="0"/>
        <w:autoSpaceDN w:val="0"/>
        <w:adjustRightInd w:val="0"/>
        <w:spacing w:line="360" w:lineRule="auto"/>
        <w:rPr>
          <w:rFonts w:ascii="Times" w:hAnsi="Times" w:cs="AdvPTimes"/>
        </w:rPr>
      </w:pPr>
    </w:p>
    <w:p w14:paraId="6D3C30DB" w14:textId="77777777" w:rsidR="008014F1" w:rsidRDefault="008014F1" w:rsidP="008014F1">
      <w:pPr>
        <w:widowControl w:val="0"/>
        <w:autoSpaceDE w:val="0"/>
        <w:autoSpaceDN w:val="0"/>
        <w:adjustRightInd w:val="0"/>
        <w:spacing w:line="360" w:lineRule="auto"/>
        <w:rPr>
          <w:rFonts w:ascii="Times" w:hAnsi="Times" w:cs="AdvPTimes"/>
          <w:color w:val="000000"/>
        </w:rPr>
      </w:pPr>
      <w:r>
        <w:rPr>
          <w:rFonts w:ascii="Times" w:hAnsi="Times" w:cs="AdvPTimes"/>
          <w:color w:val="000000"/>
        </w:rPr>
        <w:t>Table I.2. Results from post hoc Tukey’s HSD following ANOVA for comparisons of hinge length and shell height among treatments.</w:t>
      </w:r>
    </w:p>
    <w:p w14:paraId="29AD0241" w14:textId="77C91546" w:rsidR="008014F1" w:rsidRDefault="008014F1" w:rsidP="008014F1">
      <w:pPr>
        <w:widowControl w:val="0"/>
        <w:autoSpaceDE w:val="0"/>
        <w:autoSpaceDN w:val="0"/>
        <w:adjustRightInd w:val="0"/>
        <w:spacing w:line="360" w:lineRule="auto"/>
        <w:rPr>
          <w:rFonts w:ascii="Times" w:hAnsi="Times" w:cs="AdvPTimes"/>
        </w:rPr>
      </w:pPr>
      <w:r>
        <w:rPr>
          <w:rFonts w:ascii="Times" w:hAnsi="Times" w:cs="AdvPTimes"/>
          <w:noProof/>
          <w:color w:val="000000"/>
          <w:lang w:eastAsia="en-US"/>
        </w:rPr>
        <w:drawing>
          <wp:inline distT="0" distB="0" distL="0" distR="0" wp14:anchorId="784224A0" wp14:editId="1C83F441">
            <wp:extent cx="4852035" cy="20933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8">
                      <a:extLst>
                        <a:ext uri="{28A0092B-C50C-407E-A947-70E740481C1C}">
                          <a14:useLocalDpi xmlns:a14="http://schemas.microsoft.com/office/drawing/2010/main" val="0"/>
                        </a:ext>
                      </a:extLst>
                    </a:blip>
                    <a:stretch>
                      <a:fillRect/>
                    </a:stretch>
                  </pic:blipFill>
                  <pic:spPr>
                    <a:xfrm>
                      <a:off x="0" y="0"/>
                      <a:ext cx="4852393" cy="2093527"/>
                    </a:xfrm>
                    <a:prstGeom prst="rect">
                      <a:avLst/>
                    </a:prstGeom>
                  </pic:spPr>
                </pic:pic>
              </a:graphicData>
            </a:graphic>
          </wp:inline>
        </w:drawing>
      </w:r>
    </w:p>
    <w:p w14:paraId="0D3E2B45" w14:textId="77777777" w:rsidR="008014F1" w:rsidRDefault="008014F1" w:rsidP="008014F1">
      <w:pPr>
        <w:widowControl w:val="0"/>
        <w:autoSpaceDE w:val="0"/>
        <w:autoSpaceDN w:val="0"/>
        <w:adjustRightInd w:val="0"/>
        <w:spacing w:line="360" w:lineRule="auto"/>
        <w:rPr>
          <w:rFonts w:ascii="Times" w:hAnsi="Times" w:cs="AdvPTimes"/>
        </w:rPr>
      </w:pPr>
    </w:p>
    <w:p w14:paraId="3F76FFCF" w14:textId="77777777" w:rsidR="008014F1" w:rsidRDefault="008014F1" w:rsidP="008014F1">
      <w:pPr>
        <w:pStyle w:val="Heading2"/>
      </w:pPr>
    </w:p>
    <w:p w14:paraId="53408675" w14:textId="77777777" w:rsidR="008014F1" w:rsidRDefault="008014F1" w:rsidP="008014F1">
      <w:pPr>
        <w:pStyle w:val="Heading2"/>
      </w:pPr>
    </w:p>
    <w:p w14:paraId="4C8581B5" w14:textId="41B88692" w:rsidR="008014F1" w:rsidRDefault="008014F1" w:rsidP="008014F1">
      <w:pPr>
        <w:pStyle w:val="Heading2"/>
      </w:pPr>
      <w:bookmarkStart w:id="29" w:name="_Toc257278783"/>
      <w:r>
        <w:t>Figures</w:t>
      </w:r>
      <w:bookmarkEnd w:id="29"/>
    </w:p>
    <w:p w14:paraId="250EBEC0" w14:textId="12209AF1" w:rsidR="008014F1" w:rsidRDefault="008014F1" w:rsidP="008014F1">
      <w:pPr>
        <w:widowControl w:val="0"/>
        <w:autoSpaceDE w:val="0"/>
        <w:autoSpaceDN w:val="0"/>
        <w:adjustRightInd w:val="0"/>
        <w:spacing w:line="360" w:lineRule="auto"/>
        <w:rPr>
          <w:rFonts w:ascii="Times" w:hAnsi="Times" w:cs="AdvPTimes"/>
        </w:rPr>
      </w:pPr>
      <w:r>
        <w:rPr>
          <w:rFonts w:ascii="Times" w:hAnsi="Times" w:cs="AdvPTimes"/>
          <w:noProof/>
          <w:color w:val="000000"/>
          <w:lang w:eastAsia="en-US"/>
        </w:rPr>
        <w:drawing>
          <wp:inline distT="0" distB="0" distL="0" distR="0" wp14:anchorId="07E4BEAF" wp14:editId="6D73FCB7">
            <wp:extent cx="3480816" cy="1536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olor.jpg"/>
                    <pic:cNvPicPr/>
                  </pic:nvPicPr>
                  <pic:blipFill>
                    <a:blip r:embed="rId9">
                      <a:extLst>
                        <a:ext uri="{28A0092B-C50C-407E-A947-70E740481C1C}">
                          <a14:useLocalDpi xmlns:a14="http://schemas.microsoft.com/office/drawing/2010/main" val="0"/>
                        </a:ext>
                      </a:extLst>
                    </a:blip>
                    <a:stretch>
                      <a:fillRect/>
                    </a:stretch>
                  </pic:blipFill>
                  <pic:spPr>
                    <a:xfrm>
                      <a:off x="0" y="0"/>
                      <a:ext cx="3480816" cy="1536192"/>
                    </a:xfrm>
                    <a:prstGeom prst="rect">
                      <a:avLst/>
                    </a:prstGeom>
                  </pic:spPr>
                </pic:pic>
              </a:graphicData>
            </a:graphic>
          </wp:inline>
        </w:drawing>
      </w:r>
    </w:p>
    <w:p w14:paraId="56DB8B2C" w14:textId="77777777" w:rsidR="008014F1" w:rsidRPr="00086257" w:rsidRDefault="008014F1" w:rsidP="008014F1">
      <w:pPr>
        <w:widowControl w:val="0"/>
        <w:autoSpaceDE w:val="0"/>
        <w:autoSpaceDN w:val="0"/>
        <w:adjustRightInd w:val="0"/>
        <w:spacing w:line="360" w:lineRule="auto"/>
        <w:rPr>
          <w:rFonts w:ascii="Times" w:hAnsi="Times" w:cs="AdvPTimes"/>
          <w:color w:val="000000"/>
        </w:rPr>
      </w:pPr>
      <w:r>
        <w:rPr>
          <w:rFonts w:ascii="Times" w:hAnsi="Times" w:cs="AdvPTimes"/>
          <w:color w:val="000000"/>
        </w:rPr>
        <w:t>Figure I.1. D-hinge larvae under polarized light portraying calcification at the hinge without a Maltese cross in the shell (a) and full calcification as evidenced by the Maltese cross (b).</w:t>
      </w:r>
    </w:p>
    <w:p w14:paraId="083AE7CE" w14:textId="77777777" w:rsidR="008014F1" w:rsidRDefault="008014F1" w:rsidP="008014F1">
      <w:pPr>
        <w:widowControl w:val="0"/>
        <w:autoSpaceDE w:val="0"/>
        <w:autoSpaceDN w:val="0"/>
        <w:adjustRightInd w:val="0"/>
        <w:spacing w:line="360" w:lineRule="auto"/>
        <w:rPr>
          <w:rFonts w:ascii="Times" w:hAnsi="Times" w:cs="AdvPTimes"/>
        </w:rPr>
      </w:pPr>
    </w:p>
    <w:p w14:paraId="3A779609" w14:textId="054518F9" w:rsidR="00A61FA8" w:rsidRDefault="008014F1" w:rsidP="00A61FA8">
      <w:pPr>
        <w:widowControl w:val="0"/>
        <w:autoSpaceDE w:val="0"/>
        <w:autoSpaceDN w:val="0"/>
        <w:adjustRightInd w:val="0"/>
        <w:rPr>
          <w:rFonts w:ascii="Times" w:hAnsi="Times" w:cs="AdvPTimes"/>
        </w:rPr>
      </w:pPr>
      <w:r>
        <w:rPr>
          <w:rFonts w:ascii="Times" w:hAnsi="Times" w:cs="AdvPTimes"/>
          <w:noProof/>
          <w:lang w:eastAsia="en-US"/>
        </w:rPr>
        <w:drawing>
          <wp:inline distT="0" distB="0" distL="0" distR="0" wp14:anchorId="46DBAA06" wp14:editId="74169067">
            <wp:extent cx="4051935" cy="4051935"/>
            <wp:effectExtent l="0" t="0" r="1206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0">
                      <a:extLst>
                        <a:ext uri="{28A0092B-C50C-407E-A947-70E740481C1C}">
                          <a14:useLocalDpi xmlns:a14="http://schemas.microsoft.com/office/drawing/2010/main" val="0"/>
                        </a:ext>
                      </a:extLst>
                    </a:blip>
                    <a:stretch>
                      <a:fillRect/>
                    </a:stretch>
                  </pic:blipFill>
                  <pic:spPr>
                    <a:xfrm>
                      <a:off x="0" y="0"/>
                      <a:ext cx="4051935" cy="4051935"/>
                    </a:xfrm>
                    <a:prstGeom prst="rect">
                      <a:avLst/>
                    </a:prstGeom>
                  </pic:spPr>
                </pic:pic>
              </a:graphicData>
            </a:graphic>
          </wp:inline>
        </w:drawing>
      </w:r>
    </w:p>
    <w:p w14:paraId="555ECE13" w14:textId="77777777" w:rsidR="008014F1" w:rsidRDefault="008014F1" w:rsidP="008014F1">
      <w:pPr>
        <w:widowControl w:val="0"/>
        <w:autoSpaceDE w:val="0"/>
        <w:autoSpaceDN w:val="0"/>
        <w:adjustRightInd w:val="0"/>
        <w:spacing w:line="360" w:lineRule="auto"/>
        <w:rPr>
          <w:rFonts w:ascii="Times" w:hAnsi="Times" w:cs="AdvPTimes"/>
        </w:rPr>
      </w:pPr>
      <w:r>
        <w:rPr>
          <w:rFonts w:ascii="Times" w:hAnsi="Times" w:cs="AdvPTimes"/>
        </w:rPr>
        <w:t>Figure I.2. Profiles of pH measurements in the three different treatments – Ambient (black), MidCO</w:t>
      </w:r>
      <w:r w:rsidRPr="0059047D">
        <w:rPr>
          <w:rFonts w:ascii="Times" w:hAnsi="Times" w:cs="AdvPTimes"/>
          <w:vertAlign w:val="subscript"/>
        </w:rPr>
        <w:t>2</w:t>
      </w:r>
      <w:r>
        <w:rPr>
          <w:rFonts w:ascii="Times" w:hAnsi="Times" w:cs="AdvPTimes"/>
          <w:vertAlign w:val="subscript"/>
        </w:rPr>
        <w:t xml:space="preserve"> </w:t>
      </w:r>
      <w:r>
        <w:rPr>
          <w:rFonts w:ascii="Times" w:hAnsi="Times" w:cs="AdvPTimes"/>
        </w:rPr>
        <w:t>(light gray), and HighCO</w:t>
      </w:r>
      <w:r w:rsidRPr="0059047D">
        <w:rPr>
          <w:rFonts w:ascii="Times" w:hAnsi="Times" w:cs="AdvPTimes"/>
          <w:vertAlign w:val="subscript"/>
        </w:rPr>
        <w:t>2</w:t>
      </w:r>
      <w:r>
        <w:rPr>
          <w:rFonts w:ascii="Times" w:hAnsi="Times" w:cs="AdvPTimes"/>
        </w:rPr>
        <w:t xml:space="preserve"> (dark gray).  Average pH for the experiment for each treatment is represented by solid lines.  The DuraFET probes recorded pH measurements every minute.</w:t>
      </w:r>
    </w:p>
    <w:p w14:paraId="31149721" w14:textId="77777777" w:rsidR="008014F1" w:rsidRDefault="008014F1" w:rsidP="008014F1">
      <w:pPr>
        <w:widowControl w:val="0"/>
        <w:autoSpaceDE w:val="0"/>
        <w:autoSpaceDN w:val="0"/>
        <w:adjustRightInd w:val="0"/>
        <w:spacing w:line="360" w:lineRule="auto"/>
        <w:rPr>
          <w:rFonts w:ascii="Times" w:hAnsi="Times" w:cs="AdvPTimes"/>
        </w:rPr>
      </w:pPr>
    </w:p>
    <w:p w14:paraId="7DF699DC" w14:textId="4362D794" w:rsidR="008014F1" w:rsidRDefault="008014F1" w:rsidP="008014F1">
      <w:pPr>
        <w:widowControl w:val="0"/>
        <w:autoSpaceDE w:val="0"/>
        <w:autoSpaceDN w:val="0"/>
        <w:adjustRightInd w:val="0"/>
        <w:spacing w:line="360" w:lineRule="auto"/>
        <w:rPr>
          <w:rFonts w:ascii="Times" w:hAnsi="Times" w:cs="AdvPTimes"/>
        </w:rPr>
      </w:pPr>
      <w:r>
        <w:rPr>
          <w:rFonts w:ascii="Times" w:hAnsi="Times" w:cs="AdvPTimes"/>
          <w:noProof/>
          <w:color w:val="000000"/>
          <w:lang w:eastAsia="en-US"/>
        </w:rPr>
        <w:drawing>
          <wp:inline distT="0" distB="0" distL="0" distR="0" wp14:anchorId="41F51F28" wp14:editId="73B92BED">
            <wp:extent cx="4048306" cy="370345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1">
                      <a:extLst>
                        <a:ext uri="{28A0092B-C50C-407E-A947-70E740481C1C}">
                          <a14:useLocalDpi xmlns:a14="http://schemas.microsoft.com/office/drawing/2010/main" val="0"/>
                        </a:ext>
                      </a:extLst>
                    </a:blip>
                    <a:stretch>
                      <a:fillRect/>
                    </a:stretch>
                  </pic:blipFill>
                  <pic:spPr>
                    <a:xfrm>
                      <a:off x="0" y="0"/>
                      <a:ext cx="4048906" cy="3703999"/>
                    </a:xfrm>
                    <a:prstGeom prst="rect">
                      <a:avLst/>
                    </a:prstGeom>
                  </pic:spPr>
                </pic:pic>
              </a:graphicData>
            </a:graphic>
          </wp:inline>
        </w:drawing>
      </w:r>
    </w:p>
    <w:p w14:paraId="2CFA227B" w14:textId="77777777" w:rsidR="008014F1" w:rsidRDefault="008014F1" w:rsidP="008014F1">
      <w:pPr>
        <w:widowControl w:val="0"/>
        <w:autoSpaceDE w:val="0"/>
        <w:autoSpaceDN w:val="0"/>
        <w:adjustRightInd w:val="0"/>
        <w:spacing w:line="360" w:lineRule="auto"/>
        <w:rPr>
          <w:rFonts w:ascii="Times" w:hAnsi="Times" w:cs="AdvPTimes"/>
          <w:color w:val="000000"/>
        </w:rPr>
      </w:pPr>
      <w:r>
        <w:rPr>
          <w:rFonts w:ascii="Times" w:hAnsi="Times" w:cs="AdvPTimes"/>
          <w:color w:val="000000"/>
        </w:rPr>
        <w:t xml:space="preserve">Figure I.3. Proportion of calcified larvae at different </w:t>
      </w:r>
      <w:r w:rsidRPr="00CD79A7">
        <w:rPr>
          <w:rFonts w:ascii="Times" w:hAnsi="Times" w:cs="AdvPTimes"/>
          <w:i/>
          <w:color w:val="000000"/>
        </w:rPr>
        <w:t>p</w:t>
      </w:r>
      <w:r>
        <w:rPr>
          <w:rFonts w:ascii="Times" w:hAnsi="Times" w:cs="AdvPTimes"/>
          <w:color w:val="000000"/>
        </w:rPr>
        <w:t>CO</w:t>
      </w:r>
      <w:r w:rsidRPr="00CD79A7">
        <w:rPr>
          <w:rFonts w:ascii="Times" w:hAnsi="Times" w:cs="AdvPTimes"/>
          <w:color w:val="000000"/>
          <w:vertAlign w:val="subscript"/>
        </w:rPr>
        <w:t>2</w:t>
      </w:r>
      <w:r>
        <w:rPr>
          <w:rFonts w:ascii="Times" w:hAnsi="Times" w:cs="AdvPTimes"/>
          <w:color w:val="000000"/>
        </w:rPr>
        <w:t xml:space="preserve"> treatments.  Bars represent calcification on day 1 (white) and day 3 (gray).  Proportion of larvae calcified are provided from the Ambient treatment (panel A), MidCO</w:t>
      </w:r>
      <w:r w:rsidRPr="00CD79A7">
        <w:rPr>
          <w:rFonts w:ascii="Times" w:hAnsi="Times" w:cs="AdvPTimes"/>
          <w:color w:val="000000"/>
          <w:vertAlign w:val="subscript"/>
        </w:rPr>
        <w:t>2</w:t>
      </w:r>
      <w:r>
        <w:rPr>
          <w:rFonts w:ascii="Times" w:hAnsi="Times" w:cs="AdvPTimes"/>
          <w:color w:val="000000"/>
        </w:rPr>
        <w:t xml:space="preserve"> treatment (panel B), and HighCO</w:t>
      </w:r>
      <w:r w:rsidRPr="00CD79A7">
        <w:rPr>
          <w:rFonts w:ascii="Times" w:hAnsi="Times" w:cs="AdvPTimes"/>
          <w:color w:val="000000"/>
          <w:vertAlign w:val="subscript"/>
        </w:rPr>
        <w:t>2</w:t>
      </w:r>
      <w:r>
        <w:rPr>
          <w:rFonts w:ascii="Times" w:hAnsi="Times" w:cs="AdvPTimes"/>
          <w:color w:val="000000"/>
        </w:rPr>
        <w:t xml:space="preserve"> treatment (panel C).  There is a significant difference in calcification among treatments, with the highest proportion of larvae calcified at HighCO</w:t>
      </w:r>
      <w:r w:rsidRPr="00CD79A7">
        <w:rPr>
          <w:rFonts w:ascii="Times" w:hAnsi="Times" w:cs="AdvPTimes"/>
          <w:color w:val="000000"/>
          <w:vertAlign w:val="subscript"/>
        </w:rPr>
        <w:t>2</w:t>
      </w:r>
      <w:r>
        <w:rPr>
          <w:rFonts w:ascii="Times" w:hAnsi="Times" w:cs="AdvPTimes"/>
          <w:color w:val="000000"/>
        </w:rPr>
        <w:t xml:space="preserve"> on day 1 and the fewest larvae calcified in HighCO</w:t>
      </w:r>
      <w:r w:rsidRPr="0030116B">
        <w:rPr>
          <w:rFonts w:ascii="Times" w:hAnsi="Times" w:cs="AdvPTimes"/>
          <w:color w:val="000000"/>
          <w:vertAlign w:val="subscript"/>
        </w:rPr>
        <w:t>2</w:t>
      </w:r>
      <w:r>
        <w:rPr>
          <w:rFonts w:ascii="Times" w:hAnsi="Times" w:cs="AdvPTimes"/>
          <w:color w:val="000000"/>
        </w:rPr>
        <w:t xml:space="preserve"> on day 3.</w:t>
      </w:r>
    </w:p>
    <w:p w14:paraId="3EF736B2" w14:textId="77777777" w:rsidR="008014F1" w:rsidRPr="00650BE8" w:rsidRDefault="008014F1" w:rsidP="008014F1">
      <w:pPr>
        <w:widowControl w:val="0"/>
        <w:autoSpaceDE w:val="0"/>
        <w:autoSpaceDN w:val="0"/>
        <w:adjustRightInd w:val="0"/>
        <w:spacing w:line="360" w:lineRule="auto"/>
        <w:rPr>
          <w:rFonts w:ascii="Times" w:hAnsi="Times" w:cs="AdvPTimes"/>
        </w:rPr>
      </w:pPr>
    </w:p>
    <w:p w14:paraId="0552D26A" w14:textId="2C247829" w:rsidR="008014F1" w:rsidRDefault="008014F1" w:rsidP="00A61FA8">
      <w:pPr>
        <w:widowControl w:val="0"/>
        <w:autoSpaceDE w:val="0"/>
        <w:autoSpaceDN w:val="0"/>
        <w:adjustRightInd w:val="0"/>
        <w:rPr>
          <w:rFonts w:ascii="Times" w:hAnsi="Times" w:cs="AdvPTimes"/>
        </w:rPr>
      </w:pPr>
      <w:r>
        <w:rPr>
          <w:rFonts w:ascii="Times" w:hAnsi="Times" w:cs="AdvPTimes"/>
          <w:noProof/>
          <w:color w:val="000000"/>
          <w:lang w:eastAsia="en-US"/>
        </w:rPr>
        <w:drawing>
          <wp:inline distT="0" distB="0" distL="0" distR="0" wp14:anchorId="0E227C96" wp14:editId="5C12491A">
            <wp:extent cx="3655513" cy="3496854"/>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2">
                      <a:extLst>
                        <a:ext uri="{28A0092B-C50C-407E-A947-70E740481C1C}">
                          <a14:useLocalDpi xmlns:a14="http://schemas.microsoft.com/office/drawing/2010/main" val="0"/>
                        </a:ext>
                      </a:extLst>
                    </a:blip>
                    <a:stretch>
                      <a:fillRect/>
                    </a:stretch>
                  </pic:blipFill>
                  <pic:spPr>
                    <a:xfrm>
                      <a:off x="0" y="0"/>
                      <a:ext cx="3655936" cy="3497258"/>
                    </a:xfrm>
                    <a:prstGeom prst="rect">
                      <a:avLst/>
                    </a:prstGeom>
                  </pic:spPr>
                </pic:pic>
              </a:graphicData>
            </a:graphic>
          </wp:inline>
        </w:drawing>
      </w:r>
    </w:p>
    <w:p w14:paraId="7C0E8AB2" w14:textId="77777777" w:rsidR="008014F1" w:rsidRDefault="008014F1" w:rsidP="008014F1">
      <w:pPr>
        <w:widowControl w:val="0"/>
        <w:autoSpaceDE w:val="0"/>
        <w:autoSpaceDN w:val="0"/>
        <w:adjustRightInd w:val="0"/>
        <w:spacing w:line="360" w:lineRule="auto"/>
        <w:rPr>
          <w:rFonts w:ascii="Times" w:hAnsi="Times" w:cs="AdvPTimes"/>
          <w:color w:val="000000"/>
        </w:rPr>
      </w:pPr>
      <w:r>
        <w:rPr>
          <w:rFonts w:ascii="Times" w:hAnsi="Times" w:cs="AdvPTimes"/>
          <w:color w:val="000000"/>
        </w:rPr>
        <w:t>Figure I.4. Larval hinge length on day 1 (white boxplots) and day 3 (gray boxplots).   Results are shown for the Ambient treatment, MidCO</w:t>
      </w:r>
      <w:r w:rsidRPr="00367483">
        <w:rPr>
          <w:rFonts w:ascii="Times" w:hAnsi="Times" w:cs="AdvPTimes"/>
          <w:color w:val="000000"/>
          <w:vertAlign w:val="subscript"/>
        </w:rPr>
        <w:t>2</w:t>
      </w:r>
      <w:r>
        <w:rPr>
          <w:rFonts w:ascii="Times" w:hAnsi="Times" w:cs="AdvPTimes"/>
          <w:color w:val="000000"/>
        </w:rPr>
        <w:t xml:space="preserve"> treatment, and HighCO</w:t>
      </w:r>
      <w:r w:rsidRPr="00367483">
        <w:rPr>
          <w:rFonts w:ascii="Times" w:hAnsi="Times" w:cs="AdvPTimes"/>
          <w:color w:val="000000"/>
          <w:vertAlign w:val="subscript"/>
        </w:rPr>
        <w:t>2</w:t>
      </w:r>
      <w:r>
        <w:rPr>
          <w:rFonts w:ascii="Times" w:hAnsi="Times" w:cs="AdvPTimes"/>
          <w:color w:val="000000"/>
        </w:rPr>
        <w:t xml:space="preserve"> treatment.  Boxplots contain the middle 50% of the data and dashed lines encompass the data with 1.5x the spread of the middle 50%.  Open circles represent outliers.  Horizontal black bars indicate median values.  An asterisk indicates significant differences within a treatment.  On day 3, larvae in the HighCO</w:t>
      </w:r>
      <w:r w:rsidRPr="00367483">
        <w:rPr>
          <w:rFonts w:ascii="Times" w:hAnsi="Times" w:cs="AdvPTimes"/>
          <w:color w:val="000000"/>
          <w:vertAlign w:val="subscript"/>
        </w:rPr>
        <w:t>2</w:t>
      </w:r>
      <w:r>
        <w:rPr>
          <w:rFonts w:ascii="Times" w:hAnsi="Times" w:cs="AdvPTimes"/>
          <w:color w:val="000000"/>
        </w:rPr>
        <w:t xml:space="preserve"> treatment were significantly smaller than those in the other two treatments (P &lt; 0.05).</w:t>
      </w:r>
    </w:p>
    <w:p w14:paraId="493582F2" w14:textId="77777777" w:rsidR="008014F1" w:rsidRDefault="008014F1" w:rsidP="008014F1">
      <w:pPr>
        <w:widowControl w:val="0"/>
        <w:autoSpaceDE w:val="0"/>
        <w:autoSpaceDN w:val="0"/>
        <w:adjustRightInd w:val="0"/>
        <w:spacing w:line="360" w:lineRule="auto"/>
        <w:rPr>
          <w:rFonts w:ascii="Times" w:hAnsi="Times" w:cs="AdvPTimes"/>
          <w:color w:val="000000"/>
        </w:rPr>
      </w:pPr>
    </w:p>
    <w:p w14:paraId="24ED4CAA" w14:textId="3EA2EBED" w:rsidR="008014F1" w:rsidRDefault="008014F1" w:rsidP="008014F1">
      <w:pPr>
        <w:widowControl w:val="0"/>
        <w:autoSpaceDE w:val="0"/>
        <w:autoSpaceDN w:val="0"/>
        <w:adjustRightInd w:val="0"/>
        <w:spacing w:line="360" w:lineRule="auto"/>
        <w:rPr>
          <w:rFonts w:ascii="Times" w:hAnsi="Times" w:cs="AdvPTimes"/>
          <w:color w:val="000000"/>
        </w:rPr>
      </w:pPr>
      <w:r>
        <w:rPr>
          <w:rFonts w:ascii="Times" w:hAnsi="Times" w:cs="AdvPTimes"/>
          <w:noProof/>
          <w:color w:val="000000"/>
          <w:lang w:eastAsia="en-US"/>
        </w:rPr>
        <w:drawing>
          <wp:inline distT="0" distB="0" distL="0" distR="0" wp14:anchorId="0B41B898" wp14:editId="73535C5C">
            <wp:extent cx="3682886" cy="3502152"/>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3">
                      <a:extLst>
                        <a:ext uri="{28A0092B-C50C-407E-A947-70E740481C1C}">
                          <a14:useLocalDpi xmlns:a14="http://schemas.microsoft.com/office/drawing/2010/main" val="0"/>
                        </a:ext>
                      </a:extLst>
                    </a:blip>
                    <a:stretch>
                      <a:fillRect/>
                    </a:stretch>
                  </pic:blipFill>
                  <pic:spPr>
                    <a:xfrm>
                      <a:off x="0" y="0"/>
                      <a:ext cx="3682886" cy="3502152"/>
                    </a:xfrm>
                    <a:prstGeom prst="rect">
                      <a:avLst/>
                    </a:prstGeom>
                  </pic:spPr>
                </pic:pic>
              </a:graphicData>
            </a:graphic>
          </wp:inline>
        </w:drawing>
      </w:r>
    </w:p>
    <w:p w14:paraId="380A42EE" w14:textId="77777777" w:rsidR="008014F1" w:rsidRDefault="008014F1" w:rsidP="008014F1">
      <w:pPr>
        <w:widowControl w:val="0"/>
        <w:autoSpaceDE w:val="0"/>
        <w:autoSpaceDN w:val="0"/>
        <w:adjustRightInd w:val="0"/>
        <w:spacing w:line="360" w:lineRule="auto"/>
        <w:rPr>
          <w:rFonts w:ascii="Times" w:hAnsi="Times" w:cs="AdvPTimes"/>
          <w:color w:val="000000"/>
        </w:rPr>
      </w:pPr>
      <w:r>
        <w:rPr>
          <w:rFonts w:ascii="Times" w:hAnsi="Times" w:cs="AdvPTimes"/>
          <w:color w:val="000000"/>
        </w:rPr>
        <w:t>Figure I.5. Larval shell height on day 1 (white boxplots) and day 3 (gray boxplots).  Results are shown for the Ambient treatment, MidCO</w:t>
      </w:r>
      <w:r w:rsidRPr="00367483">
        <w:rPr>
          <w:rFonts w:ascii="Times" w:hAnsi="Times" w:cs="AdvPTimes"/>
          <w:color w:val="000000"/>
          <w:vertAlign w:val="subscript"/>
        </w:rPr>
        <w:t>2</w:t>
      </w:r>
      <w:r>
        <w:rPr>
          <w:rFonts w:ascii="Times" w:hAnsi="Times" w:cs="AdvPTimes"/>
          <w:color w:val="000000"/>
        </w:rPr>
        <w:t xml:space="preserve"> treatment, and HighCO</w:t>
      </w:r>
      <w:r w:rsidRPr="00367483">
        <w:rPr>
          <w:rFonts w:ascii="Times" w:hAnsi="Times" w:cs="AdvPTimes"/>
          <w:color w:val="000000"/>
          <w:vertAlign w:val="subscript"/>
        </w:rPr>
        <w:t>2</w:t>
      </w:r>
      <w:r>
        <w:rPr>
          <w:rFonts w:ascii="Times" w:hAnsi="Times" w:cs="AdvPTimes"/>
          <w:color w:val="000000"/>
        </w:rPr>
        <w:t xml:space="preserve"> treatment.  Boxplots contain the middle 50% of the data and dashed lines encompass the data with 1.5x the spread of the middle 50%.  Open circles represent outliers.  Horizontal black bars indicate median values.  An asterisk indicates significant differences within a treatment.  On day 3, shell height was reduced in larvae at HighCO</w:t>
      </w:r>
      <w:r w:rsidRPr="0030116B">
        <w:rPr>
          <w:rFonts w:ascii="Times" w:hAnsi="Times" w:cs="AdvPTimes"/>
          <w:color w:val="000000"/>
          <w:vertAlign w:val="subscript"/>
        </w:rPr>
        <w:t>2</w:t>
      </w:r>
      <w:r>
        <w:rPr>
          <w:rFonts w:ascii="Times" w:hAnsi="Times" w:cs="AdvPTimes"/>
          <w:color w:val="000000"/>
        </w:rPr>
        <w:t xml:space="preserve"> relative to those raised at Ambient and at MidCO</w:t>
      </w:r>
      <w:r w:rsidRPr="0030116B">
        <w:rPr>
          <w:rFonts w:ascii="Times" w:hAnsi="Times" w:cs="AdvPTimes"/>
          <w:color w:val="000000"/>
          <w:vertAlign w:val="subscript"/>
        </w:rPr>
        <w:t>2</w:t>
      </w:r>
      <w:r>
        <w:rPr>
          <w:rFonts w:ascii="Times" w:hAnsi="Times" w:cs="AdvPTimes"/>
          <w:color w:val="000000"/>
        </w:rPr>
        <w:t xml:space="preserve"> (P &lt; 0.01).</w:t>
      </w:r>
    </w:p>
    <w:p w14:paraId="72336082" w14:textId="77777777" w:rsidR="008014F1" w:rsidRDefault="008014F1" w:rsidP="008014F1">
      <w:pPr>
        <w:widowControl w:val="0"/>
        <w:autoSpaceDE w:val="0"/>
        <w:autoSpaceDN w:val="0"/>
        <w:adjustRightInd w:val="0"/>
        <w:spacing w:line="360" w:lineRule="auto"/>
        <w:rPr>
          <w:rFonts w:ascii="Times" w:hAnsi="Times" w:cs="AdvPTimes"/>
          <w:color w:val="000000"/>
        </w:rPr>
      </w:pPr>
    </w:p>
    <w:p w14:paraId="2988BC84" w14:textId="7DB4E9E4" w:rsidR="008014F1" w:rsidRDefault="008014F1" w:rsidP="008014F1">
      <w:pPr>
        <w:widowControl w:val="0"/>
        <w:autoSpaceDE w:val="0"/>
        <w:autoSpaceDN w:val="0"/>
        <w:adjustRightInd w:val="0"/>
        <w:spacing w:line="360" w:lineRule="auto"/>
        <w:rPr>
          <w:rFonts w:ascii="Times" w:hAnsi="Times" w:cs="AdvPTimes"/>
          <w:color w:val="000000"/>
        </w:rPr>
      </w:pPr>
      <w:r>
        <w:rPr>
          <w:rFonts w:ascii="Times" w:hAnsi="Times" w:cs="AdvPTimes"/>
          <w:noProof/>
          <w:color w:val="000000"/>
          <w:lang w:eastAsia="en-US"/>
        </w:rPr>
        <w:drawing>
          <wp:inline distT="0" distB="0" distL="0" distR="0" wp14:anchorId="207DDD25" wp14:editId="17999E19">
            <wp:extent cx="4003040" cy="4003040"/>
            <wp:effectExtent l="0" t="0" r="1016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4">
                      <a:extLst>
                        <a:ext uri="{28A0092B-C50C-407E-A947-70E740481C1C}">
                          <a14:useLocalDpi xmlns:a14="http://schemas.microsoft.com/office/drawing/2010/main" val="0"/>
                        </a:ext>
                      </a:extLst>
                    </a:blip>
                    <a:stretch>
                      <a:fillRect/>
                    </a:stretch>
                  </pic:blipFill>
                  <pic:spPr>
                    <a:xfrm>
                      <a:off x="0" y="0"/>
                      <a:ext cx="4003040" cy="4003040"/>
                    </a:xfrm>
                    <a:prstGeom prst="rect">
                      <a:avLst/>
                    </a:prstGeom>
                  </pic:spPr>
                </pic:pic>
              </a:graphicData>
            </a:graphic>
          </wp:inline>
        </w:drawing>
      </w:r>
    </w:p>
    <w:p w14:paraId="278D23C3" w14:textId="13BAA14B" w:rsidR="008014F1" w:rsidRPr="008014F1" w:rsidRDefault="008014F1" w:rsidP="008014F1">
      <w:pPr>
        <w:spacing w:line="360" w:lineRule="auto"/>
      </w:pPr>
      <w:r>
        <w:rPr>
          <w:rFonts w:ascii="Times" w:hAnsi="Times" w:cs="AdvPTimes"/>
          <w:color w:val="000000"/>
        </w:rPr>
        <w:t xml:space="preserve">Figure I.6.  Regression of larval shell height on hinge length by treatment and day.  Data from larvae raised under Ambient </w:t>
      </w:r>
      <w:r w:rsidRPr="00D37AAA">
        <w:rPr>
          <w:rFonts w:ascii="Times" w:hAnsi="Times" w:cs="AdvPTimes"/>
          <w:i/>
          <w:color w:val="000000"/>
        </w:rPr>
        <w:t>p</w:t>
      </w:r>
      <w:r>
        <w:rPr>
          <w:rFonts w:ascii="Times" w:hAnsi="Times" w:cs="AdvPTimes"/>
          <w:color w:val="000000"/>
        </w:rPr>
        <w:t>CO</w:t>
      </w:r>
      <w:r w:rsidRPr="00D37AAA">
        <w:rPr>
          <w:rFonts w:ascii="Times" w:hAnsi="Times" w:cs="AdvPTimes"/>
          <w:color w:val="000000"/>
          <w:vertAlign w:val="subscript"/>
        </w:rPr>
        <w:t>2</w:t>
      </w:r>
      <w:r>
        <w:rPr>
          <w:rFonts w:ascii="Times" w:hAnsi="Times" w:cs="AdvPTimes"/>
          <w:color w:val="000000"/>
        </w:rPr>
        <w:t xml:space="preserve"> conditions are represented by circles, MidCO</w:t>
      </w:r>
      <w:r w:rsidRPr="00D37AAA">
        <w:rPr>
          <w:rFonts w:ascii="Times" w:hAnsi="Times" w:cs="AdvPTimes"/>
          <w:color w:val="000000"/>
          <w:vertAlign w:val="subscript"/>
        </w:rPr>
        <w:t>2</w:t>
      </w:r>
      <w:r>
        <w:rPr>
          <w:rFonts w:ascii="Times" w:hAnsi="Times" w:cs="AdvPTimes"/>
          <w:color w:val="000000"/>
        </w:rPr>
        <w:t xml:space="preserve"> are triangles, and HighCO</w:t>
      </w:r>
      <w:r w:rsidRPr="00D37AAA">
        <w:rPr>
          <w:rFonts w:ascii="Times" w:hAnsi="Times" w:cs="AdvPTimes"/>
          <w:color w:val="000000"/>
          <w:vertAlign w:val="subscript"/>
        </w:rPr>
        <w:t>2</w:t>
      </w:r>
      <w:r>
        <w:rPr>
          <w:rFonts w:ascii="Times" w:hAnsi="Times" w:cs="AdvPTimes"/>
          <w:color w:val="000000"/>
        </w:rPr>
        <w:t xml:space="preserve"> are diamonds.  Size data from day 1 are in black and day 3 are in white.  The solid line is the regression line for Ambient data (intercept = 27.47, slope = 0.65), dotted for MidCO</w:t>
      </w:r>
      <w:r w:rsidRPr="00D37AAA">
        <w:rPr>
          <w:rFonts w:ascii="Times" w:hAnsi="Times" w:cs="AdvPTimes"/>
          <w:color w:val="000000"/>
          <w:vertAlign w:val="subscript"/>
        </w:rPr>
        <w:t>2</w:t>
      </w:r>
      <w:r>
        <w:rPr>
          <w:rFonts w:ascii="Times" w:hAnsi="Times" w:cs="AdvPTimes"/>
          <w:color w:val="000000"/>
        </w:rPr>
        <w:t xml:space="preserve"> (intercept = 15.76, slope = 0.82), and dashed for HighCO</w:t>
      </w:r>
      <w:r w:rsidRPr="00D37AAA">
        <w:rPr>
          <w:rFonts w:ascii="Times" w:hAnsi="Times" w:cs="AdvPTimes"/>
          <w:color w:val="000000"/>
          <w:vertAlign w:val="subscript"/>
        </w:rPr>
        <w:t>2</w:t>
      </w:r>
      <w:r>
        <w:rPr>
          <w:rFonts w:ascii="Times" w:hAnsi="Times" w:cs="AdvPTimes"/>
          <w:color w:val="000000"/>
        </w:rPr>
        <w:t xml:space="preserve"> (intercept = 37.10, slope = 0.36).  The slopes of all lines are statistically the same (P &gt; 0.05).</w:t>
      </w:r>
    </w:p>
    <w:p w14:paraId="56725AB4" w14:textId="77777777" w:rsidR="008014F1" w:rsidRDefault="008014F1" w:rsidP="00A61FA8">
      <w:pPr>
        <w:widowControl w:val="0"/>
        <w:autoSpaceDE w:val="0"/>
        <w:autoSpaceDN w:val="0"/>
        <w:adjustRightInd w:val="0"/>
        <w:rPr>
          <w:rFonts w:ascii="Times" w:hAnsi="Times" w:cs="AdvPTimes"/>
        </w:rPr>
      </w:pPr>
    </w:p>
    <w:p w14:paraId="18C3B276" w14:textId="26A20E85" w:rsidR="00A61FA8" w:rsidRDefault="00A61FA8" w:rsidP="00A61FA8">
      <w:pPr>
        <w:pStyle w:val="Heading2"/>
      </w:pPr>
      <w:bookmarkStart w:id="30" w:name="_Toc257278784"/>
      <w:r>
        <w:t>Acknowledgements</w:t>
      </w:r>
      <w:bookmarkEnd w:id="30"/>
    </w:p>
    <w:p w14:paraId="62964A40" w14:textId="2FC5B674" w:rsidR="00A61FA8" w:rsidRPr="00A61FA8" w:rsidRDefault="00A61FA8" w:rsidP="00A61FA8">
      <w:pPr>
        <w:widowControl w:val="0"/>
        <w:autoSpaceDE w:val="0"/>
        <w:autoSpaceDN w:val="0"/>
        <w:adjustRightInd w:val="0"/>
        <w:rPr>
          <w:rFonts w:ascii="Times" w:hAnsi="Times" w:cs="AdvPTimes"/>
        </w:rPr>
      </w:pPr>
      <w:r w:rsidRPr="00A61FA8">
        <w:rPr>
          <w:rFonts w:ascii="Times" w:hAnsi="Times" w:cs="AdvPTimes"/>
        </w:rPr>
        <w:t>We would like to thank Drs. Ken Sebens and Emily Carrington for use of lab space and facilities at Friday Harbor Labs. Support from National Science Foundation grant EF1041213 to Dr. Carrington funded the construction of the ocean acidification system and analytical equipment used in this study. National Oceanographic and Atmospheric Administration Saltonstall-Kennedy Program grant # NA09NMF4270093 to Dr. Steven Roberts and Dr. Carolyn Friedman also supported this research project. Matt George, Laura Newcomb, and Michelle Herko provided help with maintenance of the ocean acidification system, larval care, and water chemistry analysis, respectively. Thank you to Dr. Richard Strathmann for his advice on larval care and to Dr. Billie Swalla for advice on fixation and for use of her lab space. Dr. Brent Vadopalas and Dr. Loveday Conquest were incredibly helpful with advice on statistical analysis. Lisa Crosson, Mackenzie Gavery, Caroline Storer, and Sam White provided valuable, critical feedback during the writing process. We are very appreciative of the thorough and helpful comments from two anonymous reviewers and from the editor of this issue, Dr. Sam Dupont.</w:t>
      </w:r>
    </w:p>
    <w:p w14:paraId="3213B9E4" w14:textId="44B163C1" w:rsidR="00A61FA8" w:rsidRDefault="005643FD" w:rsidP="00A61FA8">
      <w:pPr>
        <w:pStyle w:val="Heading2"/>
      </w:pPr>
      <w:bookmarkStart w:id="31" w:name="_Toc257278785"/>
      <w:r>
        <w:t>Works Cited</w:t>
      </w:r>
      <w:bookmarkEnd w:id="31"/>
    </w:p>
    <w:p w14:paraId="1A54EFA3" w14:textId="77777777" w:rsidR="00D826A9" w:rsidRPr="00D826A9" w:rsidRDefault="00D826A9" w:rsidP="00D826A9">
      <w:pPr>
        <w:ind w:left="720" w:hanging="720"/>
        <w:rPr>
          <w:rFonts w:ascii="Times" w:hAnsi="Times"/>
        </w:rPr>
      </w:pPr>
      <w:r w:rsidRPr="00D826A9">
        <w:rPr>
          <w:rFonts w:ascii="Times" w:hAnsi="Times"/>
        </w:rPr>
        <w:t>Banks SC, Ling SD, Johnson CR, Piggott MP, Williamson JE, Behergegaray LB (2010) Genetic structure of a recent climate change-driven range extension. Molecular Ecology 19: 2011-2024</w:t>
      </w:r>
    </w:p>
    <w:p w14:paraId="477A0B11" w14:textId="77777777" w:rsidR="00D826A9" w:rsidRPr="00D826A9" w:rsidRDefault="00D826A9" w:rsidP="00D826A9">
      <w:pPr>
        <w:ind w:left="720" w:hanging="720"/>
        <w:rPr>
          <w:rFonts w:ascii="Times" w:hAnsi="Times"/>
        </w:rPr>
      </w:pPr>
      <w:r w:rsidRPr="00D826A9">
        <w:rPr>
          <w:rFonts w:ascii="Times" w:hAnsi="Times"/>
        </w:rPr>
        <w:t>Barton A, Hales B, Waldbusser G, Langdon C, Feely RA (2012) The Pacific oyster, Crassostrea gigas, shows negative correlation to naturally elevated carbon dioxide levels: Implications for near-term ocean acidification impacts. Limnology and Oceanography 57: 698-710</w:t>
      </w:r>
    </w:p>
    <w:p w14:paraId="300776A0" w14:textId="77777777" w:rsidR="00D826A9" w:rsidRPr="00D826A9" w:rsidRDefault="00D826A9" w:rsidP="00D826A9">
      <w:pPr>
        <w:ind w:left="720" w:hanging="720"/>
        <w:rPr>
          <w:rFonts w:ascii="Times" w:hAnsi="Times"/>
        </w:rPr>
      </w:pPr>
      <w:r w:rsidRPr="00D826A9">
        <w:rPr>
          <w:rFonts w:ascii="Times" w:hAnsi="Times"/>
        </w:rPr>
        <w:t xml:space="preserve">Beniash E, Ivanina A, Lieb NS, Kurochkin Il, Sokolova IM (2010) Elevated levels of carbon dioxide affects metabolism and shell formation in oysters Crassostrea virginica. Marine Ecology Progress Series 419: 95-108 </w:t>
      </w:r>
    </w:p>
    <w:p w14:paraId="295E9DBC" w14:textId="77777777" w:rsidR="00D826A9" w:rsidRPr="00D826A9" w:rsidRDefault="00D826A9" w:rsidP="00D826A9">
      <w:pPr>
        <w:ind w:left="720" w:hanging="720"/>
        <w:rPr>
          <w:rFonts w:ascii="Times" w:hAnsi="Times"/>
        </w:rPr>
      </w:pPr>
      <w:r w:rsidRPr="00D826A9">
        <w:rPr>
          <w:rFonts w:ascii="Times" w:hAnsi="Times"/>
        </w:rPr>
        <w:t>Bonar DB, Coon SL, Walch M, Weiner RM, Fitt W (1990) Control of oyster settlement and metamorphosis by endogenous and exogenous chemical cues. Bulletin of Marine Science 46: 484-498.</w:t>
      </w:r>
    </w:p>
    <w:p w14:paraId="2DD60552" w14:textId="77777777" w:rsidR="00D826A9" w:rsidRPr="00D826A9" w:rsidRDefault="00D826A9" w:rsidP="00D826A9">
      <w:pPr>
        <w:ind w:left="720" w:hanging="720"/>
        <w:rPr>
          <w:rFonts w:ascii="Times" w:hAnsi="Times"/>
          <w:color w:val="0B0B0B"/>
        </w:rPr>
      </w:pPr>
      <w:r w:rsidRPr="00D826A9">
        <w:rPr>
          <w:rFonts w:ascii="Times" w:hAnsi="Times"/>
        </w:rPr>
        <w:t xml:space="preserve">Byrne M, Ho M, Wong E, Soars NA, Selyakumaraswamy P, Shepard-Brennand H, Dworjanyn SA, David AR (2010). Unshelled abalone and corrupted urchins: development of marine calcifiers in a changing ocean. Proc R Soc B. </w:t>
      </w:r>
      <w:r w:rsidRPr="00D826A9">
        <w:rPr>
          <w:rFonts w:ascii="Times" w:hAnsi="Times"/>
          <w:color w:val="0B0B0B"/>
        </w:rPr>
        <w:t>doi:10.1098/rspb.2010.2404.</w:t>
      </w:r>
    </w:p>
    <w:p w14:paraId="0696F455" w14:textId="77777777" w:rsidR="00D826A9" w:rsidRPr="00D826A9" w:rsidRDefault="00D826A9" w:rsidP="00D826A9">
      <w:pPr>
        <w:ind w:left="720" w:hanging="720"/>
        <w:rPr>
          <w:rFonts w:ascii="Times" w:hAnsi="Times"/>
        </w:rPr>
      </w:pPr>
      <w:r w:rsidRPr="00D826A9">
        <w:rPr>
          <w:rFonts w:ascii="Times" w:hAnsi="Times"/>
        </w:rPr>
        <w:t xml:space="preserve">Byrne RH, Mecking S, Feely RA, Liu X (2010). Direct observations of basin-wide acidification of the North Pacific Ocean. Geophysical Research Letters. </w:t>
      </w:r>
      <w:r w:rsidRPr="00D826A9">
        <w:rPr>
          <w:rFonts w:ascii="Times" w:hAnsi="Times"/>
          <w:color w:val="0B0B0B"/>
        </w:rPr>
        <w:t>doi:10.1029/2009GL040999</w:t>
      </w:r>
      <w:r w:rsidRPr="00D826A9">
        <w:rPr>
          <w:rFonts w:ascii="Times" w:hAnsi="Times"/>
        </w:rPr>
        <w:t xml:space="preserve"> </w:t>
      </w:r>
    </w:p>
    <w:p w14:paraId="682816AD" w14:textId="77777777" w:rsidR="00D826A9" w:rsidRPr="00D826A9" w:rsidRDefault="00D826A9" w:rsidP="00D826A9">
      <w:pPr>
        <w:ind w:left="720" w:hanging="720"/>
        <w:rPr>
          <w:rFonts w:ascii="Times" w:hAnsi="Times"/>
        </w:rPr>
      </w:pPr>
      <w:r w:rsidRPr="00D826A9">
        <w:rPr>
          <w:rFonts w:ascii="Times" w:hAnsi="Times"/>
        </w:rPr>
        <w:t>Caldeira K, Wickett ME (2003) Anthropogenic carbon and ocean pH. Nature 425:365.</w:t>
      </w:r>
    </w:p>
    <w:p w14:paraId="64FAD4B8" w14:textId="77777777" w:rsidR="00D826A9" w:rsidRPr="00D826A9" w:rsidRDefault="00D826A9" w:rsidP="00D826A9">
      <w:pPr>
        <w:ind w:left="720" w:hanging="720"/>
        <w:rPr>
          <w:rFonts w:ascii="Times" w:hAnsi="Times"/>
        </w:rPr>
      </w:pPr>
      <w:r w:rsidRPr="00D826A9">
        <w:rPr>
          <w:rFonts w:ascii="Times" w:hAnsi="Times"/>
        </w:rPr>
        <w:t>Catarino AI, De Ridder C, Gonzalez M, Gallardo P, Dubois P (2011) Sea urchin Arbacia dufresnei (Blainville 1825) larvae response to ocean acidification. Polar Biology. doi: 10.1007/s00300-011-1074-2</w:t>
      </w:r>
    </w:p>
    <w:p w14:paraId="05BF89F0" w14:textId="77777777" w:rsidR="00D826A9" w:rsidRPr="00D826A9" w:rsidRDefault="00D826A9" w:rsidP="00D826A9">
      <w:pPr>
        <w:ind w:left="720" w:hanging="720"/>
        <w:rPr>
          <w:rFonts w:ascii="Times" w:hAnsi="Times"/>
        </w:rPr>
      </w:pPr>
      <w:r w:rsidRPr="00D826A9">
        <w:rPr>
          <w:rFonts w:ascii="Times" w:hAnsi="Times"/>
        </w:rPr>
        <w:t>Coen LD, Luckenbach MW (2000) Developing success criteria and goals for evaluating oyster reef restoration: Ecological function or resource exploitation? Ecological Engineering 15: 323-343</w:t>
      </w:r>
    </w:p>
    <w:p w14:paraId="201B6FAA" w14:textId="77777777" w:rsidR="00D826A9" w:rsidRPr="00D826A9" w:rsidRDefault="00D826A9" w:rsidP="00D826A9">
      <w:pPr>
        <w:ind w:left="720" w:hanging="720"/>
        <w:rPr>
          <w:rFonts w:ascii="Times" w:hAnsi="Times"/>
        </w:rPr>
      </w:pPr>
      <w:r w:rsidRPr="00D826A9">
        <w:rPr>
          <w:rFonts w:ascii="Times" w:hAnsi="Times"/>
        </w:rPr>
        <w:t>Crim RN, Sunday JM, Harley CDG (2011) Elevated seawater CO2 concentrations impair larval development and reduce larval survival in endangered northern abalone (Haliotis kamtschatkana). Journal of Experimental Marine Biology and Ecology 400: 272-277</w:t>
      </w:r>
    </w:p>
    <w:p w14:paraId="57979E6E" w14:textId="77777777" w:rsidR="00D826A9" w:rsidRPr="00D826A9" w:rsidRDefault="00D826A9" w:rsidP="00D826A9">
      <w:pPr>
        <w:ind w:left="720" w:hanging="720"/>
        <w:rPr>
          <w:rFonts w:ascii="Times" w:hAnsi="Times"/>
        </w:rPr>
      </w:pPr>
      <w:r w:rsidRPr="00D826A9">
        <w:rPr>
          <w:rFonts w:ascii="Times" w:hAnsi="Times"/>
        </w:rPr>
        <w:t>Dickson AG, Sabine CL, Christian JR (2007) Guide to best practices for ocean CO2 measurements. Sidney, British Columbia, North Pacific Marine Science Organization, 176 pp.</w:t>
      </w:r>
    </w:p>
    <w:p w14:paraId="6EA5BB59" w14:textId="77777777" w:rsidR="00D826A9" w:rsidRPr="00D826A9" w:rsidRDefault="00D826A9" w:rsidP="00D826A9">
      <w:pPr>
        <w:ind w:left="720" w:hanging="720"/>
        <w:rPr>
          <w:rFonts w:ascii="Times" w:hAnsi="Times"/>
        </w:rPr>
      </w:pPr>
      <w:r w:rsidRPr="00D826A9">
        <w:rPr>
          <w:rFonts w:ascii="Times" w:hAnsi="Times"/>
        </w:rPr>
        <w:t>Dupont S, Lundve B, Thorndyke M (2010) Near future ocean acidification increases growth rate of the lecithotrophic larvae and juveniles of the sea star Crossaster papposus. J Exp Zool (Mol Dev Evol) 314B: 382-389</w:t>
      </w:r>
    </w:p>
    <w:p w14:paraId="671139EB" w14:textId="77777777" w:rsidR="00D826A9" w:rsidRPr="00D826A9" w:rsidRDefault="00D826A9" w:rsidP="00D826A9">
      <w:pPr>
        <w:ind w:left="720" w:hanging="720"/>
        <w:rPr>
          <w:rFonts w:ascii="Times" w:hAnsi="Times"/>
        </w:rPr>
      </w:pPr>
      <w:r w:rsidRPr="00D826A9">
        <w:rPr>
          <w:rFonts w:ascii="Times" w:hAnsi="Times"/>
        </w:rPr>
        <w:t>Elston RA, Hasegawa H, Humphrey KL, Polyak IK, Häse CC (2008) Re-emergence of Vibrio tubiashii in bivalve aquaculture: severity, environmental drivers, geographic extent, and management. Dis Aquat Org 82: 119-134</w:t>
      </w:r>
    </w:p>
    <w:p w14:paraId="1AE7DE7D" w14:textId="77777777" w:rsidR="00D826A9" w:rsidRPr="00D826A9" w:rsidRDefault="00D826A9" w:rsidP="00D826A9">
      <w:pPr>
        <w:ind w:left="720" w:hanging="720"/>
        <w:rPr>
          <w:rFonts w:ascii="Times" w:hAnsi="Times"/>
        </w:rPr>
      </w:pPr>
      <w:r w:rsidRPr="00D826A9">
        <w:rPr>
          <w:rFonts w:ascii="Times" w:hAnsi="Times"/>
        </w:rPr>
        <w:t>FAO Fisheries and Aquaculture Department (2010) World aquaculture 2010. FAO Fisheries and Aquaculture Department. Technical Paper. No. 500/1. Rome, FAO. 2011. 105 pp.</w:t>
      </w:r>
    </w:p>
    <w:p w14:paraId="4C4F2D63" w14:textId="77777777" w:rsidR="00D826A9" w:rsidRPr="00D826A9" w:rsidRDefault="00D826A9" w:rsidP="00D826A9">
      <w:pPr>
        <w:ind w:left="720" w:hanging="720"/>
        <w:rPr>
          <w:rFonts w:ascii="Times" w:hAnsi="Times"/>
        </w:rPr>
      </w:pPr>
      <w:r w:rsidRPr="00D826A9">
        <w:rPr>
          <w:rFonts w:ascii="Times" w:hAnsi="Times"/>
        </w:rPr>
        <w:t>Fassbender AJ, Sabine CL, Feely RA, Langdon C, Mordy CW (2011) Inorganic carbon dynamics during northern California coastal upwelling. Continental Shelf Research 31: 1180-1192</w:t>
      </w:r>
    </w:p>
    <w:p w14:paraId="148D0FDA" w14:textId="77777777" w:rsidR="00D826A9" w:rsidRPr="00D826A9" w:rsidRDefault="00D826A9" w:rsidP="00D826A9">
      <w:pPr>
        <w:ind w:left="720" w:hanging="720"/>
        <w:rPr>
          <w:rFonts w:ascii="Times" w:hAnsi="Times"/>
        </w:rPr>
      </w:pPr>
      <w:r w:rsidRPr="00D826A9">
        <w:rPr>
          <w:rFonts w:ascii="Times" w:hAnsi="Times"/>
        </w:rPr>
        <w:t>Feely RA, Alin SR, Newton J, Sabine CL, Warner M, Devol A, Krembs C, Maloy C (2010) The combined effects of ocean acidification, mixing, and respiration on pH and carbonate saturation in an urbanized estuary. Estuarine, Coastal and Shelf Science 88: 442-449</w:t>
      </w:r>
    </w:p>
    <w:p w14:paraId="02A5CC5B" w14:textId="77777777" w:rsidR="00D826A9" w:rsidRPr="00D826A9" w:rsidRDefault="00D826A9" w:rsidP="00D826A9">
      <w:pPr>
        <w:ind w:left="720" w:hanging="720"/>
        <w:rPr>
          <w:rFonts w:ascii="Times" w:hAnsi="Times"/>
        </w:rPr>
      </w:pPr>
      <w:r w:rsidRPr="00D826A9">
        <w:rPr>
          <w:rFonts w:ascii="Times" w:hAnsi="Times"/>
        </w:rPr>
        <w:t>Feely RA, Sabine CL, Hernandez-Ayon JM, Ianson D, Hales B (2008) Evidence for upwelling of corrosive “acidified” water onto the continental shelf. Science 320: 1490-1492</w:t>
      </w:r>
    </w:p>
    <w:p w14:paraId="2D9D6E57" w14:textId="77777777" w:rsidR="00D826A9" w:rsidRPr="00D826A9" w:rsidRDefault="00D826A9" w:rsidP="00D826A9">
      <w:pPr>
        <w:ind w:left="720" w:hanging="720"/>
        <w:rPr>
          <w:rFonts w:ascii="Times" w:hAnsi="Times"/>
        </w:rPr>
      </w:pPr>
      <w:r w:rsidRPr="00D826A9">
        <w:rPr>
          <w:rFonts w:ascii="Times" w:hAnsi="Times"/>
        </w:rPr>
        <w:t>Gallager SM, Mann R, Sasaki GC (1986) Lipid as an index of growth and viability in three species of bivalve larvae. Aquaculture 56: 81-103</w:t>
      </w:r>
    </w:p>
    <w:p w14:paraId="0B9ECAB1" w14:textId="77777777" w:rsidR="00D826A9" w:rsidRPr="00D826A9" w:rsidRDefault="00D826A9" w:rsidP="00D826A9">
      <w:pPr>
        <w:ind w:left="720" w:hanging="720"/>
        <w:rPr>
          <w:rFonts w:ascii="Times" w:hAnsi="Times"/>
        </w:rPr>
      </w:pPr>
      <w:r w:rsidRPr="00D826A9">
        <w:rPr>
          <w:rFonts w:ascii="Times" w:hAnsi="Times"/>
        </w:rPr>
        <w:t>Gaylord B, Hill TM, Sanford E, Lenz EA, Jacobs LA, Sato KN, Russell AN, Hettinger A (2011) Functional impacts of ocean acidification in an ecologically critical foundation species. J Exp boil 214: 2586-2594</w:t>
      </w:r>
    </w:p>
    <w:p w14:paraId="65D28C90" w14:textId="77777777" w:rsidR="00D826A9" w:rsidRPr="00D826A9" w:rsidRDefault="00D826A9" w:rsidP="00D826A9">
      <w:pPr>
        <w:ind w:left="720" w:hanging="720"/>
        <w:rPr>
          <w:rFonts w:ascii="Times" w:hAnsi="Times"/>
        </w:rPr>
      </w:pPr>
      <w:r w:rsidRPr="00D826A9">
        <w:rPr>
          <w:rFonts w:ascii="Times" w:hAnsi="Times"/>
        </w:rPr>
        <w:t>Gazeau F, Gattuso J-P, Greaves M, Elderfield H, Peene J, Heip CHR, Middelburg JJ (2011) Effects of carbonate chemistry alteration on early embryonic development of the Pacific oyster (Crassostrea gigas). PLoS One doi:10.1371/journal.pone.0023010</w:t>
      </w:r>
    </w:p>
    <w:p w14:paraId="59676D37" w14:textId="77777777" w:rsidR="00D826A9" w:rsidRPr="00D826A9" w:rsidRDefault="00D826A9" w:rsidP="00D826A9">
      <w:pPr>
        <w:ind w:left="720" w:hanging="720"/>
        <w:rPr>
          <w:rFonts w:ascii="Times" w:hAnsi="Times"/>
        </w:rPr>
      </w:pPr>
      <w:r w:rsidRPr="00D826A9">
        <w:rPr>
          <w:rFonts w:ascii="Times" w:hAnsi="Times"/>
        </w:rPr>
        <w:t>Hauri C, Gruber N, Plattner G-K, Alin S, Feely RA, Hales B, Wheeler PA (2009) Ocean acidification in the California Current System. Oceanography 22: 60-71</w:t>
      </w:r>
    </w:p>
    <w:p w14:paraId="6FD5CF50" w14:textId="77777777" w:rsidR="00D826A9" w:rsidRPr="00D826A9" w:rsidRDefault="00D826A9" w:rsidP="00D826A9">
      <w:pPr>
        <w:ind w:left="720" w:hanging="720"/>
        <w:rPr>
          <w:rFonts w:ascii="Times" w:hAnsi="Times"/>
        </w:rPr>
      </w:pPr>
      <w:r w:rsidRPr="00D826A9">
        <w:rPr>
          <w:rFonts w:ascii="Times" w:hAnsi="Times"/>
        </w:rPr>
        <w:t>Henry RP, Kormanik GA, Smatresk NJ, Cameron JN (1981) The role of CaCO</w:t>
      </w:r>
      <w:r w:rsidRPr="00D826A9">
        <w:rPr>
          <w:rFonts w:ascii="Times" w:hAnsi="Times"/>
          <w:vertAlign w:val="subscript"/>
        </w:rPr>
        <w:t>3</w:t>
      </w:r>
      <w:r w:rsidRPr="00D826A9">
        <w:rPr>
          <w:rFonts w:ascii="Times" w:hAnsi="Times"/>
        </w:rPr>
        <w:t xml:space="preserve"> dissolution as a source of HCO</w:t>
      </w:r>
      <w:r w:rsidRPr="00D826A9">
        <w:rPr>
          <w:rFonts w:ascii="Times" w:hAnsi="Times"/>
          <w:vertAlign w:val="subscript"/>
        </w:rPr>
        <w:t>3</w:t>
      </w:r>
      <w:r w:rsidRPr="00D826A9">
        <w:rPr>
          <w:rFonts w:ascii="Times" w:hAnsi="Times"/>
          <w:vertAlign w:val="superscript"/>
        </w:rPr>
        <w:t>-</w:t>
      </w:r>
      <w:r w:rsidRPr="00D826A9">
        <w:rPr>
          <w:rFonts w:ascii="Times" w:hAnsi="Times"/>
        </w:rPr>
        <w:t xml:space="preserve"> for the buffering of hypercapnic acidosis in aquatic and terrestrial decapod crustaceans. J Exp Biol 94: 269-273.</w:t>
      </w:r>
    </w:p>
    <w:p w14:paraId="787F2552" w14:textId="77777777" w:rsidR="00D826A9" w:rsidRPr="00D826A9" w:rsidRDefault="00D826A9" w:rsidP="00D826A9">
      <w:pPr>
        <w:ind w:left="720" w:hanging="720"/>
        <w:rPr>
          <w:rFonts w:ascii="Times" w:hAnsi="Times"/>
        </w:rPr>
      </w:pPr>
      <w:r w:rsidRPr="00D826A9">
        <w:rPr>
          <w:rFonts w:ascii="Times" w:hAnsi="Times"/>
        </w:rPr>
        <w:t xml:space="preserve">Intergovernmental Panel on Climate Change (IPCC) (2007) Contribution of Working Groups I, II, and III to the Fourth Assessment Report of the Intergovernmental Panel on Climate Change. Pachauri, R.K., Reisinger, A. (Eds.), IPCC, Geneva, Switzerland, pp. 104 </w:t>
      </w:r>
    </w:p>
    <w:p w14:paraId="40C7C555" w14:textId="77777777" w:rsidR="00D826A9" w:rsidRPr="00D826A9" w:rsidRDefault="00D826A9" w:rsidP="00D826A9">
      <w:pPr>
        <w:ind w:left="720" w:hanging="720"/>
        <w:rPr>
          <w:rFonts w:ascii="Times" w:hAnsi="Times"/>
        </w:rPr>
      </w:pPr>
      <w:r w:rsidRPr="00D826A9">
        <w:rPr>
          <w:rFonts w:ascii="Times" w:hAnsi="Times"/>
        </w:rPr>
        <w:t>Kurihara H, Kato S, Ishimatsu A. (2007) Effects of increased seawater pCO</w:t>
      </w:r>
      <w:r w:rsidRPr="00D826A9">
        <w:rPr>
          <w:rFonts w:ascii="Times" w:hAnsi="Times"/>
          <w:vertAlign w:val="subscript"/>
        </w:rPr>
        <w:t>2</w:t>
      </w:r>
      <w:r w:rsidRPr="00D826A9">
        <w:rPr>
          <w:rFonts w:ascii="Times" w:hAnsi="Times"/>
        </w:rPr>
        <w:t xml:space="preserve"> on early development of the oysters Crassostrea gigas. Aquatic Biology 1: 91-98</w:t>
      </w:r>
    </w:p>
    <w:p w14:paraId="4AEA222C" w14:textId="77777777" w:rsidR="00D826A9" w:rsidRPr="00D826A9" w:rsidRDefault="00D826A9" w:rsidP="00D826A9">
      <w:pPr>
        <w:ind w:left="720" w:hanging="720"/>
        <w:rPr>
          <w:rFonts w:ascii="Times" w:hAnsi="Times"/>
        </w:rPr>
      </w:pPr>
      <w:r w:rsidRPr="00D826A9">
        <w:rPr>
          <w:rFonts w:ascii="Times" w:hAnsi="Times"/>
        </w:rPr>
        <w:t>LaBarbera M (1974) Calcification of the first larval shell of Tridacna squamosa (Tridacnidae: Bivalvia). Mar Biol 25: 233-238</w:t>
      </w:r>
    </w:p>
    <w:p w14:paraId="132DD917" w14:textId="77777777" w:rsidR="00D826A9" w:rsidRPr="00D826A9" w:rsidRDefault="00D826A9" w:rsidP="00D826A9">
      <w:pPr>
        <w:ind w:left="720" w:hanging="720"/>
        <w:rPr>
          <w:rFonts w:ascii="Times" w:hAnsi="Times"/>
        </w:rPr>
      </w:pPr>
      <w:r w:rsidRPr="00D826A9">
        <w:rPr>
          <w:rFonts w:ascii="Times" w:hAnsi="Times"/>
        </w:rPr>
        <w:t>Lannig G, Eilers S, Pörtner HO, Sokolova IM, Bock C (2010) Impact of ocean acidification on energy metabolism of Oyster, Crassostrea gigas-Changes in metabolic pathways and thermal response. Mar Drugs 8: 2318-2339</w:t>
      </w:r>
    </w:p>
    <w:p w14:paraId="60EDF86F" w14:textId="77777777" w:rsidR="00D826A9" w:rsidRPr="00D826A9" w:rsidRDefault="00D826A9" w:rsidP="00D826A9">
      <w:pPr>
        <w:ind w:left="720" w:hanging="720"/>
        <w:rPr>
          <w:rFonts w:ascii="Times" w:hAnsi="Times"/>
        </w:rPr>
      </w:pPr>
      <w:r w:rsidRPr="00D826A9">
        <w:rPr>
          <w:rFonts w:ascii="Times" w:hAnsi="Times"/>
        </w:rPr>
        <w:t>Marchant HK, Calosi P, Spicer JI (2010) Short-term exposure to hypercapnia does not compromise feeding, acid-base balance or respiration of Patella vulgata but surprisingly is accompanied by radula damage. Journal of the Marine Biological Association of the United Kingdom 90: 1379-1384</w:t>
      </w:r>
    </w:p>
    <w:p w14:paraId="24609331" w14:textId="77777777" w:rsidR="00D826A9" w:rsidRPr="00D826A9" w:rsidRDefault="00D826A9" w:rsidP="00D826A9">
      <w:pPr>
        <w:ind w:left="720" w:hanging="720"/>
        <w:rPr>
          <w:rFonts w:ascii="Times" w:hAnsi="Times"/>
        </w:rPr>
      </w:pPr>
      <w:r w:rsidRPr="00D826A9">
        <w:rPr>
          <w:rFonts w:ascii="Times" w:hAnsi="Times"/>
        </w:rPr>
        <w:t>Melzner F, STange P, Trubenbach K, Thomsen J, Casties I, Panknin U, Gorb SN, Gutowska MA (2011) Food supply and seawater pCO</w:t>
      </w:r>
      <w:r w:rsidRPr="00D826A9">
        <w:rPr>
          <w:rFonts w:ascii="Times" w:hAnsi="Times"/>
          <w:vertAlign w:val="subscript"/>
        </w:rPr>
        <w:t>2</w:t>
      </w:r>
      <w:r w:rsidRPr="00D826A9">
        <w:rPr>
          <w:rFonts w:ascii="Times" w:hAnsi="Times"/>
        </w:rPr>
        <w:t xml:space="preserve"> impact calcification and internal shell dissolution in the blue mussel Mytilus edulis. PLoS ONE 6: e24223. doi:10.1371/journal.pone.0024223</w:t>
      </w:r>
    </w:p>
    <w:p w14:paraId="27FB829D" w14:textId="77777777" w:rsidR="00D826A9" w:rsidRPr="00D826A9" w:rsidRDefault="00D826A9" w:rsidP="00D826A9">
      <w:pPr>
        <w:ind w:left="720" w:hanging="720"/>
        <w:rPr>
          <w:rFonts w:ascii="Times" w:hAnsi="Times"/>
        </w:rPr>
      </w:pPr>
      <w:r w:rsidRPr="00D826A9">
        <w:rPr>
          <w:rFonts w:ascii="Times" w:hAnsi="Times"/>
        </w:rPr>
        <w:t>Miller AW, Reynolds AC, Sobrino C, Riedel GF (2009) Shellfish face uncertain future in high CO</w:t>
      </w:r>
      <w:r w:rsidRPr="00D826A9">
        <w:rPr>
          <w:rFonts w:ascii="Times" w:hAnsi="Times"/>
          <w:vertAlign w:val="subscript"/>
        </w:rPr>
        <w:t>2</w:t>
      </w:r>
      <w:r w:rsidRPr="00D826A9">
        <w:rPr>
          <w:rFonts w:ascii="Times" w:hAnsi="Times"/>
        </w:rPr>
        <w:t xml:space="preserve"> world: Influence of acidification on oyster larvae calcification and growth in estuaries. PLoS ONE 4: e5661. doi:10.1371/journal.pone.0005661</w:t>
      </w:r>
    </w:p>
    <w:p w14:paraId="76CE8345" w14:textId="77777777" w:rsidR="00D826A9" w:rsidRPr="00D826A9" w:rsidRDefault="00D826A9" w:rsidP="00D826A9">
      <w:pPr>
        <w:ind w:left="720" w:hanging="720"/>
        <w:rPr>
          <w:rFonts w:ascii="Times" w:hAnsi="Times"/>
        </w:rPr>
      </w:pPr>
      <w:r w:rsidRPr="00D826A9">
        <w:rPr>
          <w:rFonts w:ascii="Times" w:hAnsi="Times"/>
        </w:rPr>
        <w:t>Miles H, Widdicombe S, Spicer JI, Hall-Spencer J (2007) Effects of anthropogenic seawater acidification on acid-base balance in the sea urchin Psammechinus miliaris. Marine Pollution Bulletin 54: 89-96</w:t>
      </w:r>
    </w:p>
    <w:p w14:paraId="6B8EDDC8" w14:textId="77777777" w:rsidR="00D826A9" w:rsidRPr="00D826A9" w:rsidRDefault="00D826A9" w:rsidP="00D826A9">
      <w:pPr>
        <w:ind w:left="720" w:hanging="720"/>
        <w:rPr>
          <w:rFonts w:ascii="Times" w:hAnsi="Times"/>
        </w:rPr>
      </w:pPr>
      <w:r w:rsidRPr="00D826A9">
        <w:rPr>
          <w:rFonts w:ascii="Times" w:hAnsi="Times"/>
        </w:rPr>
        <w:t>Narita D, Rehdanz K, Tol RSJ (2012) Economic costs of ocean acidification: a look into the impacts on global shellfish production. Climatic Change. doi:10.1007/s10584-011-0383-3</w:t>
      </w:r>
    </w:p>
    <w:p w14:paraId="62DF3B43" w14:textId="77777777" w:rsidR="00D826A9" w:rsidRPr="00D826A9" w:rsidRDefault="00D826A9" w:rsidP="00D826A9">
      <w:pPr>
        <w:ind w:left="720" w:hanging="720"/>
        <w:rPr>
          <w:rFonts w:ascii="Times" w:hAnsi="Times"/>
        </w:rPr>
      </w:pPr>
      <w:r w:rsidRPr="00D826A9">
        <w:rPr>
          <w:rFonts w:ascii="Times" w:hAnsi="Times"/>
        </w:rPr>
        <w:t>O’Donnell MJ, Hammond LM, Hofmann GE (2009) Predicted impact of ocean acidification on a marine invertebrate: elevated CO</w:t>
      </w:r>
      <w:r w:rsidRPr="00D826A9">
        <w:rPr>
          <w:rFonts w:ascii="Times" w:hAnsi="Times"/>
          <w:vertAlign w:val="subscript"/>
        </w:rPr>
        <w:t>2</w:t>
      </w:r>
      <w:r w:rsidRPr="00D826A9">
        <w:rPr>
          <w:rFonts w:ascii="Times" w:hAnsi="Times"/>
        </w:rPr>
        <w:t xml:space="preserve"> alters response to thermal stress in sea urchin larvae. Mar Biol 156: 439-446</w:t>
      </w:r>
    </w:p>
    <w:p w14:paraId="28F1720D" w14:textId="77777777" w:rsidR="00D826A9" w:rsidRPr="00D826A9" w:rsidRDefault="00D826A9" w:rsidP="00D826A9">
      <w:pPr>
        <w:ind w:left="720" w:hanging="720"/>
        <w:rPr>
          <w:rFonts w:ascii="Times" w:hAnsi="Times"/>
        </w:rPr>
      </w:pPr>
      <w:r w:rsidRPr="00D826A9">
        <w:rPr>
          <w:rFonts w:ascii="Times" w:hAnsi="Times"/>
        </w:rPr>
        <w:t>Pace DA, Marsh AG, Leong PK, GreenAJ, Hedgecock D, Manahan DT (2006) Physiological bases of energetically determined variation in growth of marine invertebrate larvae: A study of growth heterosis in the bivalve Crassostrea gigas. Journal of Experimental Marine Biology and Ecology 335: 188-209.</w:t>
      </w:r>
    </w:p>
    <w:p w14:paraId="51B1281A" w14:textId="77777777" w:rsidR="00D826A9" w:rsidRPr="00D826A9" w:rsidRDefault="00D826A9" w:rsidP="00D826A9">
      <w:pPr>
        <w:ind w:left="720" w:hanging="720"/>
        <w:rPr>
          <w:rFonts w:ascii="Times" w:hAnsi="Times"/>
        </w:rPr>
      </w:pPr>
      <w:r w:rsidRPr="00D826A9">
        <w:rPr>
          <w:rFonts w:ascii="Times" w:hAnsi="Times"/>
        </w:rPr>
        <w:t>Pane EF, Barry JP (2007) Extracellular acid-base regulation during short-term hypercapnia is effective in a shallow-water crab, but ineffective in a deep-sea crab. Mar Ecol Prog Ser 334: 1-9</w:t>
      </w:r>
    </w:p>
    <w:p w14:paraId="145C3CF2" w14:textId="77777777" w:rsidR="00D826A9" w:rsidRPr="00D826A9" w:rsidRDefault="00D826A9" w:rsidP="00D826A9">
      <w:pPr>
        <w:ind w:left="720" w:hanging="720"/>
        <w:rPr>
          <w:rFonts w:ascii="Times" w:hAnsi="Times"/>
        </w:rPr>
      </w:pPr>
      <w:r w:rsidRPr="00D826A9">
        <w:rPr>
          <w:rFonts w:ascii="Times" w:hAnsi="Times"/>
        </w:rPr>
        <w:t>Parker LM, Ross PM, O’Connor WA (2010) comparing the effect of elevated pCO</w:t>
      </w:r>
      <w:r w:rsidRPr="00D826A9">
        <w:rPr>
          <w:rFonts w:ascii="Times" w:hAnsi="Times"/>
          <w:vertAlign w:val="subscript"/>
        </w:rPr>
        <w:t>2</w:t>
      </w:r>
      <w:r w:rsidRPr="00D826A9">
        <w:rPr>
          <w:rFonts w:ascii="Times" w:hAnsi="Times"/>
        </w:rPr>
        <w:t xml:space="preserve"> and temperature on the fertilization and early development of two species of oysters. Mar Biol 157: 2435-2452</w:t>
      </w:r>
    </w:p>
    <w:p w14:paraId="319ADF0A" w14:textId="77777777" w:rsidR="00D826A9" w:rsidRPr="00D826A9" w:rsidRDefault="00D826A9" w:rsidP="00D826A9">
      <w:pPr>
        <w:ind w:left="720" w:hanging="720"/>
        <w:rPr>
          <w:rFonts w:ascii="Times" w:hAnsi="Times"/>
        </w:rPr>
      </w:pPr>
      <w:r w:rsidRPr="00D826A9">
        <w:rPr>
          <w:rFonts w:ascii="Times" w:hAnsi="Times"/>
        </w:rPr>
        <w:t>Parker LM, Ross PM, O’Connor WA, Borysko L, Raftos DA, Portner H-O (2012) Adult exposure influences offspring response to ocean acidification in oysters. Global Change Biology 18: 82-92</w:t>
      </w:r>
    </w:p>
    <w:p w14:paraId="1D6B5548" w14:textId="77777777" w:rsidR="00D826A9" w:rsidRPr="00D826A9" w:rsidRDefault="00D826A9" w:rsidP="00D826A9">
      <w:pPr>
        <w:ind w:left="720" w:hanging="720"/>
        <w:rPr>
          <w:rFonts w:ascii="Times" w:hAnsi="Times"/>
        </w:rPr>
      </w:pPr>
      <w:r w:rsidRPr="00D826A9">
        <w:rPr>
          <w:rFonts w:ascii="Times" w:hAnsi="Times"/>
        </w:rPr>
        <w:t>Perry A, Low PJ, Ellis JR, Reynolds JD (2005) Climate change and distribution shifts in marine fishes. Science 308:1912-1915</w:t>
      </w:r>
    </w:p>
    <w:p w14:paraId="39B36C0B" w14:textId="77777777" w:rsidR="00D826A9" w:rsidRPr="00D826A9" w:rsidRDefault="00D826A9" w:rsidP="00D826A9">
      <w:pPr>
        <w:ind w:left="720" w:hanging="720"/>
        <w:rPr>
          <w:rFonts w:ascii="Times" w:hAnsi="Times"/>
        </w:rPr>
      </w:pPr>
      <w:r w:rsidRPr="00D826A9">
        <w:rPr>
          <w:rFonts w:ascii="Times" w:hAnsi="Times"/>
        </w:rPr>
        <w:t>Ries JB (2011) A physicochemical framework for interpreting the biological calcification response to CO</w:t>
      </w:r>
      <w:r w:rsidRPr="00D826A9">
        <w:rPr>
          <w:rFonts w:ascii="Times" w:hAnsi="Times"/>
          <w:vertAlign w:val="subscript"/>
        </w:rPr>
        <w:t>2</w:t>
      </w:r>
      <w:r w:rsidRPr="00D826A9">
        <w:rPr>
          <w:rFonts w:ascii="Times" w:hAnsi="Times"/>
        </w:rPr>
        <w:t>-induced ocean acidification. Geochimica et Cosmochimica Acta 75: 4053-4064.</w:t>
      </w:r>
    </w:p>
    <w:p w14:paraId="3344C760" w14:textId="77777777" w:rsidR="00D826A9" w:rsidRPr="00D826A9" w:rsidRDefault="00D826A9" w:rsidP="00D826A9">
      <w:pPr>
        <w:ind w:left="720" w:hanging="720"/>
        <w:rPr>
          <w:rFonts w:ascii="Times" w:hAnsi="Times"/>
        </w:rPr>
      </w:pPr>
      <w:r w:rsidRPr="00D826A9">
        <w:rPr>
          <w:rFonts w:ascii="Times" w:hAnsi="Times"/>
        </w:rPr>
        <w:t>Robbins LL, Hansen ME, Kleypas JA,Meylan SC (2010) CO2calc: A User-Friendly Carbon Calculator for Windows, Mac OS X, and iOS (iPhone): U.S. Geological Survey Open File Report 2010-1280, 42pp.</w:t>
      </w:r>
    </w:p>
    <w:p w14:paraId="70A17E7F" w14:textId="77777777" w:rsidR="00D826A9" w:rsidRPr="00D826A9" w:rsidRDefault="00D826A9" w:rsidP="00D826A9">
      <w:pPr>
        <w:ind w:left="720" w:hanging="720"/>
        <w:rPr>
          <w:rFonts w:ascii="Times" w:hAnsi="Times"/>
        </w:rPr>
      </w:pPr>
      <w:r w:rsidRPr="00D826A9">
        <w:rPr>
          <w:rFonts w:ascii="Times" w:hAnsi="Times"/>
        </w:rPr>
        <w:t>Strathmann RR (1985) Feeding and nonfeeding larval development and life-history evolution in marine invertebrates. Ann. Rev. Ecol. Syst. 16: 339-361</w:t>
      </w:r>
    </w:p>
    <w:p w14:paraId="7E7EB90E" w14:textId="77777777" w:rsidR="00D826A9" w:rsidRPr="00D826A9" w:rsidRDefault="00D826A9" w:rsidP="00D826A9">
      <w:pPr>
        <w:ind w:left="720" w:hanging="720"/>
        <w:rPr>
          <w:rFonts w:ascii="Times" w:hAnsi="Times"/>
        </w:rPr>
      </w:pPr>
      <w:r w:rsidRPr="00D826A9">
        <w:rPr>
          <w:rFonts w:ascii="Times" w:hAnsi="Times"/>
        </w:rPr>
        <w:t>Stumpp M, Wren J, Melzner F, Thorndyke MC, Dupont ST (2011a) CO</w:t>
      </w:r>
      <w:r w:rsidRPr="00D826A9">
        <w:rPr>
          <w:rFonts w:ascii="Times" w:hAnsi="Times"/>
          <w:vertAlign w:val="subscript"/>
        </w:rPr>
        <w:t>2</w:t>
      </w:r>
      <w:r w:rsidRPr="00D826A9">
        <w:rPr>
          <w:rFonts w:ascii="Times" w:hAnsi="Times"/>
        </w:rPr>
        <w:t xml:space="preserve"> induced seawater acidification impacts sea urchin larval development I: Elevated metabolic rates decrease scope for growth and induce developmental delay Comparative Biochemistry and Physiology – Part A: Molecular and Integrative Physiology 160: 331-340</w:t>
      </w:r>
    </w:p>
    <w:p w14:paraId="5E8E5614" w14:textId="77777777" w:rsidR="00D826A9" w:rsidRPr="00D826A9" w:rsidRDefault="00D826A9" w:rsidP="00D826A9">
      <w:pPr>
        <w:ind w:left="720" w:hanging="720"/>
        <w:rPr>
          <w:rFonts w:ascii="Times" w:hAnsi="Times"/>
        </w:rPr>
      </w:pPr>
      <w:r w:rsidRPr="00D826A9">
        <w:rPr>
          <w:rFonts w:ascii="Times" w:hAnsi="Times"/>
        </w:rPr>
        <w:t>Stumpp M, Dupont ST, Thorndyke MC, Melzner F (2011b) CO</w:t>
      </w:r>
      <w:r w:rsidRPr="00D826A9">
        <w:rPr>
          <w:rFonts w:ascii="Times" w:hAnsi="Times"/>
          <w:vertAlign w:val="subscript"/>
        </w:rPr>
        <w:t>2</w:t>
      </w:r>
      <w:r w:rsidRPr="00D826A9">
        <w:rPr>
          <w:rFonts w:ascii="Times" w:hAnsi="Times"/>
        </w:rPr>
        <w:t xml:space="preserve"> induced seawater acidification impacts sea urchin larval development II: Gene expression patterns in pluteus larvae. Comparative Biochemistry and Physiology – Part A: Molecular and Integrative Physiology 160: 320-330</w:t>
      </w:r>
    </w:p>
    <w:p w14:paraId="1589312F" w14:textId="77777777" w:rsidR="00D826A9" w:rsidRPr="00D826A9" w:rsidRDefault="00D826A9" w:rsidP="00D826A9">
      <w:pPr>
        <w:ind w:left="720" w:hanging="720"/>
        <w:rPr>
          <w:rFonts w:ascii="Times" w:hAnsi="Times"/>
        </w:rPr>
      </w:pPr>
      <w:r w:rsidRPr="00D826A9">
        <w:rPr>
          <w:rFonts w:ascii="Times" w:hAnsi="Times"/>
        </w:rPr>
        <w:t>Talmage SC, Gobler CJ (2011) Effects of elevated temperature and carbon dioxide on the growth and survival of larvae and juveniles of three species of northwest Atlantic bivalves. PLoS One doi: 10.1371/journal.pone.0026941</w:t>
      </w:r>
    </w:p>
    <w:p w14:paraId="4B308B7A" w14:textId="77777777" w:rsidR="00D826A9" w:rsidRPr="00D826A9" w:rsidRDefault="00D826A9" w:rsidP="00D826A9">
      <w:pPr>
        <w:ind w:left="720" w:hanging="720"/>
        <w:rPr>
          <w:rFonts w:ascii="Times" w:hAnsi="Times"/>
        </w:rPr>
      </w:pPr>
      <w:r w:rsidRPr="00D826A9">
        <w:rPr>
          <w:rFonts w:ascii="Times" w:hAnsi="Times"/>
        </w:rPr>
        <w:t>Thomsen J, Melzner F (2010) Moderate seawater acidification does not elicit long-term metabolic depression in the blue mussel Mytilus edulis. Mar Biol 157: 2667-2676</w:t>
      </w:r>
    </w:p>
    <w:p w14:paraId="20639207" w14:textId="77777777" w:rsidR="00D826A9" w:rsidRPr="00D826A9" w:rsidRDefault="00D826A9" w:rsidP="00D826A9">
      <w:pPr>
        <w:ind w:left="720" w:hanging="720"/>
        <w:rPr>
          <w:rFonts w:ascii="Times" w:hAnsi="Times"/>
        </w:rPr>
      </w:pPr>
      <w:r w:rsidRPr="00D826A9">
        <w:rPr>
          <w:rFonts w:ascii="Times" w:hAnsi="Times"/>
        </w:rPr>
        <w:t>Tomanek L, Zuzow MJ, Ivanina AV, Beniash E, Sokolova IM (2011) Proteomic response to elevated P</w:t>
      </w:r>
      <w:r w:rsidRPr="00D826A9">
        <w:rPr>
          <w:rFonts w:ascii="Times" w:hAnsi="Times"/>
          <w:vertAlign w:val="subscript"/>
        </w:rPr>
        <w:t xml:space="preserve">CO2 </w:t>
      </w:r>
      <w:r w:rsidRPr="00D826A9">
        <w:rPr>
          <w:rFonts w:ascii="Times" w:hAnsi="Times"/>
        </w:rPr>
        <w:t>level in eastern oysters, Crassostrea virginica: evidence for oxidative stress. J Exp Biol 214: 1836-1844</w:t>
      </w:r>
    </w:p>
    <w:p w14:paraId="26E5CDB1" w14:textId="77777777" w:rsidR="00D826A9" w:rsidRPr="00D826A9" w:rsidRDefault="00D826A9" w:rsidP="00D826A9">
      <w:pPr>
        <w:ind w:left="720" w:hanging="720"/>
        <w:rPr>
          <w:rFonts w:ascii="Times" w:hAnsi="Times"/>
        </w:rPr>
      </w:pPr>
      <w:r w:rsidRPr="00D826A9">
        <w:rPr>
          <w:rFonts w:ascii="Times" w:hAnsi="Times"/>
        </w:rPr>
        <w:t>Underwood AJ, Fairweather PG (1989) Supply-side ecology and benthic marine assemblages. Trends in Ecology and Evolution 4: 16-20</w:t>
      </w:r>
    </w:p>
    <w:p w14:paraId="5910CD26" w14:textId="77777777" w:rsidR="00D826A9" w:rsidRPr="00D826A9" w:rsidRDefault="00D826A9" w:rsidP="00D826A9">
      <w:pPr>
        <w:ind w:left="720" w:hanging="720"/>
        <w:rPr>
          <w:rFonts w:ascii="Times" w:hAnsi="Times"/>
        </w:rPr>
      </w:pPr>
      <w:r w:rsidRPr="00D826A9">
        <w:rPr>
          <w:rFonts w:ascii="Times" w:hAnsi="Times"/>
        </w:rPr>
        <w:t xml:space="preserve">Watson S-A, Southgate PC, Tyler PA, Peck LS (2009) Early larval development of the Sydney rock oyster </w:t>
      </w:r>
      <w:r w:rsidRPr="00D826A9">
        <w:rPr>
          <w:rFonts w:ascii="Times" w:hAnsi="Times"/>
          <w:i/>
        </w:rPr>
        <w:t xml:space="preserve">Saccostrea glomerata </w:t>
      </w:r>
      <w:r w:rsidRPr="00D826A9">
        <w:rPr>
          <w:rFonts w:ascii="Times" w:hAnsi="Times"/>
        </w:rPr>
        <w:t>under near-future predictions of CO</w:t>
      </w:r>
      <w:r w:rsidRPr="00D826A9">
        <w:rPr>
          <w:rFonts w:ascii="Times" w:hAnsi="Times"/>
          <w:vertAlign w:val="subscript"/>
        </w:rPr>
        <w:t>2</w:t>
      </w:r>
      <w:r w:rsidRPr="00D826A9">
        <w:rPr>
          <w:rFonts w:ascii="Times" w:hAnsi="Times"/>
        </w:rPr>
        <w:t>-driven ocean acidification. Journal of Shellfish Research 28: 431-437</w:t>
      </w:r>
    </w:p>
    <w:p w14:paraId="749B2070" w14:textId="77777777" w:rsidR="00D826A9" w:rsidRPr="00D826A9" w:rsidRDefault="00D826A9" w:rsidP="00D826A9">
      <w:pPr>
        <w:ind w:left="720" w:hanging="720"/>
        <w:rPr>
          <w:rFonts w:ascii="Times" w:hAnsi="Times"/>
        </w:rPr>
      </w:pPr>
      <w:r w:rsidRPr="00D826A9">
        <w:rPr>
          <w:rFonts w:ascii="Times" w:hAnsi="Times"/>
        </w:rPr>
        <w:t>Weiss IM (2011) Biomaterials: Metabolites empowering minerals. Nature Chemical Biology 7: 192-193.</w:t>
      </w:r>
    </w:p>
    <w:p w14:paraId="7E386FA1" w14:textId="77777777" w:rsidR="00D826A9" w:rsidRPr="00D826A9" w:rsidRDefault="00D826A9" w:rsidP="00D826A9">
      <w:pPr>
        <w:ind w:left="720" w:hanging="720"/>
        <w:rPr>
          <w:rFonts w:ascii="Times" w:hAnsi="Times"/>
        </w:rPr>
      </w:pPr>
      <w:r w:rsidRPr="00D826A9">
        <w:rPr>
          <w:rFonts w:ascii="Times" w:hAnsi="Times"/>
        </w:rPr>
        <w:t>Weiss IM, Tuross N, Addadi L, Weiner S (2002) Mollusc larval shell formation: Amorphous calcium carbonate is a precursor phase for aragonite. J Exp Zool 293: 478-491</w:t>
      </w:r>
    </w:p>
    <w:p w14:paraId="561F78EF" w14:textId="77777777" w:rsidR="00D826A9" w:rsidRPr="00D826A9" w:rsidRDefault="00D826A9" w:rsidP="00D826A9">
      <w:pPr>
        <w:ind w:left="720" w:hanging="720"/>
        <w:rPr>
          <w:rFonts w:ascii="Times" w:hAnsi="Times"/>
        </w:rPr>
      </w:pPr>
      <w:r w:rsidRPr="00D826A9">
        <w:rPr>
          <w:rFonts w:ascii="Times" w:hAnsi="Times"/>
        </w:rPr>
        <w:t>Wong KKW, Lane AC, Leung PTY, Thiyagarajan V (2011) Response of larval barnacle proteome to CO</w:t>
      </w:r>
      <w:r w:rsidRPr="00D826A9">
        <w:rPr>
          <w:rFonts w:ascii="Times" w:hAnsi="Times"/>
          <w:vertAlign w:val="subscript"/>
        </w:rPr>
        <w:t>2</w:t>
      </w:r>
      <w:r w:rsidRPr="00D826A9">
        <w:rPr>
          <w:rFonts w:ascii="Times" w:hAnsi="Times"/>
        </w:rPr>
        <w:t xml:space="preserve">-driven seawater acidification. Comparative Biochemistry and Physiology Part D: Genomics and Proteomics 6: 310-321 </w:t>
      </w:r>
    </w:p>
    <w:p w14:paraId="106F55FF" w14:textId="77777777" w:rsidR="00D826A9" w:rsidRPr="00D826A9" w:rsidRDefault="00D826A9" w:rsidP="00D826A9">
      <w:pPr>
        <w:ind w:left="720" w:hanging="720"/>
        <w:rPr>
          <w:rFonts w:ascii="Times" w:hAnsi="Times"/>
        </w:rPr>
      </w:pPr>
      <w:r w:rsidRPr="00D826A9">
        <w:rPr>
          <w:rFonts w:ascii="Times" w:hAnsi="Times"/>
        </w:rPr>
        <w:t>Yu PC, Matson PG, Martz TR, Hofmann GE (2011) The ocean acidification seascape and its relationship to the performance of calcifying marine invertebrates: Laboratory experiments on the development of urchin larvae framed by environmentally-relevant pCO</w:t>
      </w:r>
      <w:r w:rsidRPr="00D826A9">
        <w:rPr>
          <w:rFonts w:ascii="Times" w:hAnsi="Times"/>
          <w:vertAlign w:val="subscript"/>
        </w:rPr>
        <w:t>2</w:t>
      </w:r>
      <w:r w:rsidRPr="00D826A9">
        <w:rPr>
          <w:rFonts w:ascii="Times" w:hAnsi="Times"/>
        </w:rPr>
        <w:t>/pH.  Journal of Experimental Marine Biology and Ecology 400: 288-295</w:t>
      </w:r>
    </w:p>
    <w:p w14:paraId="57315349" w14:textId="77777777" w:rsidR="00D826A9" w:rsidRPr="00D826A9" w:rsidRDefault="00D826A9" w:rsidP="00D826A9"/>
    <w:p w14:paraId="644CAB58" w14:textId="77777777" w:rsidR="005643FD" w:rsidRDefault="005643FD" w:rsidP="005643FD"/>
    <w:p w14:paraId="6C562CB4" w14:textId="77777777" w:rsidR="005643FD" w:rsidRDefault="005643FD" w:rsidP="005643FD"/>
    <w:p w14:paraId="40FDD825" w14:textId="77777777" w:rsidR="005643FD" w:rsidRDefault="005643FD" w:rsidP="005643FD"/>
    <w:p w14:paraId="6559ECDD" w14:textId="77777777" w:rsidR="005643FD" w:rsidRDefault="005643FD" w:rsidP="005643FD"/>
    <w:p w14:paraId="45E0C9EE" w14:textId="77777777" w:rsidR="005643FD" w:rsidRDefault="005643FD" w:rsidP="005643FD"/>
    <w:p w14:paraId="5BAF7BA9" w14:textId="77777777" w:rsidR="005643FD" w:rsidRDefault="005643FD" w:rsidP="005643FD"/>
    <w:p w14:paraId="7627F82E" w14:textId="77777777" w:rsidR="005643FD" w:rsidRDefault="005643FD" w:rsidP="005643FD"/>
    <w:p w14:paraId="7668EB3A" w14:textId="77777777" w:rsidR="005643FD" w:rsidRDefault="005643FD" w:rsidP="005643FD"/>
    <w:p w14:paraId="32150D47" w14:textId="77777777" w:rsidR="005643FD" w:rsidRDefault="005643FD" w:rsidP="005643FD"/>
    <w:p w14:paraId="6CAB2459" w14:textId="77777777" w:rsidR="005643FD" w:rsidRDefault="005643FD" w:rsidP="005643FD"/>
    <w:p w14:paraId="7C9E5613" w14:textId="77777777" w:rsidR="005643FD" w:rsidRDefault="005643FD" w:rsidP="005643FD"/>
    <w:p w14:paraId="61591EE5" w14:textId="77777777" w:rsidR="005643FD" w:rsidRDefault="005643FD" w:rsidP="005643FD"/>
    <w:p w14:paraId="33032B1B" w14:textId="77777777" w:rsidR="005643FD" w:rsidRDefault="005643FD" w:rsidP="005643FD"/>
    <w:p w14:paraId="1B998493" w14:textId="77777777" w:rsidR="005643FD" w:rsidRDefault="005643FD" w:rsidP="005643FD"/>
    <w:p w14:paraId="6B7FC61B" w14:textId="77777777" w:rsidR="005643FD" w:rsidRDefault="005643FD" w:rsidP="005643FD"/>
    <w:p w14:paraId="1FDFD752" w14:textId="77777777" w:rsidR="005643FD" w:rsidRDefault="005643FD" w:rsidP="005643FD"/>
    <w:p w14:paraId="695432A3" w14:textId="77777777" w:rsidR="005643FD" w:rsidRDefault="005643FD" w:rsidP="005643FD"/>
    <w:p w14:paraId="5E278CDA" w14:textId="77777777" w:rsidR="005643FD" w:rsidRDefault="005643FD" w:rsidP="005643FD"/>
    <w:p w14:paraId="2E5367C7" w14:textId="77777777" w:rsidR="005643FD" w:rsidRDefault="005643FD" w:rsidP="005643FD"/>
    <w:p w14:paraId="123F53F6" w14:textId="77777777" w:rsidR="00C02D9B" w:rsidRDefault="00C02D9B" w:rsidP="005643FD">
      <w:pPr>
        <w:pStyle w:val="Heading1"/>
      </w:pPr>
      <w:bookmarkStart w:id="32" w:name="_Toc257278786"/>
      <w:r>
        <w:t>Chapter II:  Shotgun proteomics as a viable approach for biological discovery in the Pacific oyster</w:t>
      </w:r>
      <w:bookmarkEnd w:id="32"/>
    </w:p>
    <w:p w14:paraId="0F4FC384" w14:textId="77777777" w:rsidR="00722A74" w:rsidRDefault="00722A74" w:rsidP="00722A74"/>
    <w:p w14:paraId="020C61B8" w14:textId="25A10817" w:rsidR="00722A74" w:rsidRPr="00114AD7" w:rsidRDefault="00722A74" w:rsidP="00722A74">
      <w:pPr>
        <w:rPr>
          <w:rFonts w:ascii="Times" w:hAnsi="Times"/>
        </w:rPr>
      </w:pPr>
      <w:r w:rsidRPr="00114AD7">
        <w:rPr>
          <w:rFonts w:ascii="Times" w:hAnsi="Times"/>
        </w:rPr>
        <w:t>Published in Conservation Physiology as: Timmins-Schiffman, E., Nunn, B.L., Goodlett, D.R., and Robe</w:t>
      </w:r>
      <w:r w:rsidR="00326AC2" w:rsidRPr="00114AD7">
        <w:rPr>
          <w:rFonts w:ascii="Times" w:hAnsi="Times"/>
        </w:rPr>
        <w:t>rts, S.B. 2013. Shotgun proteomics as a viable approach for biological discovery in the Pacific oyster. Conserv Physiol, 1. doi 10.1093/conphys/cot009</w:t>
      </w:r>
    </w:p>
    <w:p w14:paraId="30874BC8" w14:textId="47647BF2" w:rsidR="00722A74" w:rsidRDefault="00C02D9B" w:rsidP="00722A74">
      <w:pPr>
        <w:pStyle w:val="Heading2"/>
      </w:pPr>
      <w:bookmarkStart w:id="33" w:name="_Toc257278787"/>
      <w:r>
        <w:t>Abstract</w:t>
      </w:r>
      <w:bookmarkEnd w:id="33"/>
    </w:p>
    <w:p w14:paraId="7F65CE87" w14:textId="77777777" w:rsidR="0013210F" w:rsidRPr="0013210F" w:rsidRDefault="0013210F" w:rsidP="0013210F"/>
    <w:p w14:paraId="26FB2D0B" w14:textId="517317CA" w:rsidR="00722A74" w:rsidRPr="00722A74" w:rsidRDefault="00722A74" w:rsidP="00426D9F">
      <w:pPr>
        <w:spacing w:line="360" w:lineRule="auto"/>
        <w:rPr>
          <w:rFonts w:ascii="Times" w:hAnsi="Times"/>
        </w:rPr>
      </w:pPr>
      <w:r>
        <w:t xml:space="preserve"> </w:t>
      </w:r>
      <w:r w:rsidRPr="00722A74">
        <w:rPr>
          <w:rFonts w:ascii="Times" w:hAnsi="Times"/>
          <w:bCs/>
        </w:rPr>
        <w:t>Shotgun proteomics offers an efficient means to characterize proteins in a complex mixture, particularly when sufficient genomic resources are available. In order to assess the practical application of shotgun proteomics in the Pacific oyster (</w:t>
      </w:r>
      <w:r w:rsidRPr="00722A74">
        <w:rPr>
          <w:rFonts w:ascii="Times" w:hAnsi="Times"/>
          <w:bCs/>
          <w:i/>
          <w:iCs/>
        </w:rPr>
        <w:t>Crassostrea gigas</w:t>
      </w:r>
      <w:r w:rsidRPr="00722A74">
        <w:rPr>
          <w:rFonts w:ascii="Times" w:hAnsi="Times"/>
          <w:bCs/>
        </w:rPr>
        <w:t>), liquid chromatography coupled with tandem mass spectrometry was used to characterize the gill pro</w:t>
      </w:r>
      <w:r w:rsidRPr="00722A74">
        <w:rPr>
          <w:rFonts w:ascii="Times" w:hAnsi="Times"/>
          <w:bCs/>
        </w:rPr>
        <w:softHyphen/>
        <w:t>teome. Using information from the recently published Pacific oyster genome, 1043 proteins were identified. Biological samples (</w:t>
      </w:r>
      <w:r w:rsidRPr="00722A74">
        <w:rPr>
          <w:rFonts w:ascii="Times" w:hAnsi="Times"/>
          <w:bCs/>
          <w:i/>
          <w:iCs/>
        </w:rPr>
        <w:t xml:space="preserve">n </w:t>
      </w:r>
      <w:r w:rsidRPr="00722A74">
        <w:rPr>
          <w:rFonts w:ascii="Times" w:hAnsi="Times"/>
        </w:rPr>
        <w:t xml:space="preserve">= </w:t>
      </w:r>
      <w:r w:rsidRPr="00722A74">
        <w:rPr>
          <w:rFonts w:ascii="Times" w:hAnsi="Times"/>
          <w:bCs/>
        </w:rPr>
        <w:t>4) and corresponding technical replicates (three) were similar in both specific proteins identified and expression, as deter</w:t>
      </w:r>
      <w:r w:rsidRPr="00722A74">
        <w:rPr>
          <w:rFonts w:ascii="Times" w:hAnsi="Times"/>
          <w:bCs/>
        </w:rPr>
        <w:softHyphen/>
        <w:t>mined by normalized spectral abundance factor. A majority of the proteins identified (703) were present in all biological sam</w:t>
      </w:r>
      <w:r w:rsidRPr="00722A74">
        <w:rPr>
          <w:rFonts w:ascii="Times" w:hAnsi="Times"/>
          <w:bCs/>
        </w:rPr>
        <w:softHyphen/>
        <w:t xml:space="preserve">ples. Functional analysis of the protein repertoire illustrates that these proteins represent a wide range of biological processes, supporting the dynamic function of the gill. These insights are important for understanding environmental influences on the oyster, because the gill tissue acts as the interface between the oyster and its environment. </w:t>
      </w:r>
      <w:r w:rsidRPr="00722A74">
        <w:rPr>
          <w:rFonts w:ascii="Times" w:hAnsi="Times"/>
          <w:bCs/>
          <w:i/>
          <w:iCs/>
        </w:rPr>
        <w:t xml:space="preserve">In silico </w:t>
      </w:r>
      <w:r w:rsidRPr="00722A74">
        <w:rPr>
          <w:rFonts w:ascii="Times" w:hAnsi="Times"/>
          <w:bCs/>
        </w:rPr>
        <w:t>analysis indicated that this sequencing effort identified a large proportion of the complete gill proteome. Together, these data demonstrate that shotgun sequencing is a viable approach for biological discovery and will play an important role in future studies of oyster physiology.</w:t>
      </w:r>
    </w:p>
    <w:p w14:paraId="5C4DBFF2" w14:textId="77777777" w:rsidR="00C02D9B" w:rsidRDefault="00C02D9B" w:rsidP="00C02D9B">
      <w:pPr>
        <w:pStyle w:val="Heading2"/>
      </w:pPr>
      <w:bookmarkStart w:id="34" w:name="_Toc257278788"/>
      <w:r>
        <w:t>Introduction</w:t>
      </w:r>
      <w:bookmarkEnd w:id="34"/>
    </w:p>
    <w:p w14:paraId="7FB1015B" w14:textId="77777777" w:rsidR="0013210F" w:rsidRPr="0013210F" w:rsidRDefault="0013210F" w:rsidP="0013210F"/>
    <w:p w14:paraId="40CA7D68" w14:textId="28F8F102" w:rsidR="00326AC2" w:rsidRPr="00326AC2" w:rsidRDefault="00326AC2" w:rsidP="00426D9F">
      <w:pPr>
        <w:pStyle w:val="Default"/>
        <w:spacing w:line="360" w:lineRule="auto"/>
        <w:ind w:firstLine="720"/>
        <w:rPr>
          <w:rFonts w:ascii="Times" w:hAnsi="Times" w:cs="Sabon"/>
        </w:rPr>
      </w:pPr>
      <w:r w:rsidRPr="00326AC2">
        <w:rPr>
          <w:rFonts w:ascii="Times" w:hAnsi="Times" w:cs="Sabon"/>
        </w:rPr>
        <w:t>Fluctuations in gene and protein expression can be sensitive and specific indicators of biological processes. At the tran</w:t>
      </w:r>
      <w:r w:rsidRPr="00326AC2">
        <w:rPr>
          <w:rFonts w:ascii="Times" w:hAnsi="Times" w:cs="Sabon"/>
        </w:rPr>
        <w:softHyphen/>
        <w:t xml:space="preserve">script level, several methodologies can be used to characterize expression from the gene-centric to systems level, including quantitative PCR (e.g. Griffitt </w:t>
      </w:r>
      <w:r w:rsidRPr="00326AC2">
        <w:rPr>
          <w:rFonts w:ascii="Times" w:hAnsi="Times" w:cs="Sabon"/>
          <w:i/>
          <w:iCs/>
        </w:rPr>
        <w:t>et al.</w:t>
      </w:r>
      <w:r w:rsidRPr="00326AC2">
        <w:rPr>
          <w:rFonts w:ascii="Times" w:hAnsi="Times" w:cs="Sabon"/>
        </w:rPr>
        <w:t xml:space="preserve">, 2006; Stumpp </w:t>
      </w:r>
      <w:r w:rsidRPr="00326AC2">
        <w:rPr>
          <w:rFonts w:ascii="Times" w:hAnsi="Times" w:cs="Sabon"/>
          <w:i/>
          <w:iCs/>
        </w:rPr>
        <w:t>et al.</w:t>
      </w:r>
      <w:r w:rsidRPr="00326AC2">
        <w:rPr>
          <w:rFonts w:ascii="Times" w:hAnsi="Times" w:cs="Sabon"/>
        </w:rPr>
        <w:t xml:space="preserve">, 2011), microarrays (e.g. Todgham and Hofmann, 2009; Lockwood </w:t>
      </w:r>
      <w:r w:rsidRPr="00326AC2">
        <w:rPr>
          <w:rFonts w:ascii="Times" w:hAnsi="Times" w:cs="Sabon"/>
          <w:i/>
          <w:iCs/>
        </w:rPr>
        <w:t>et al.</w:t>
      </w:r>
      <w:r w:rsidRPr="00326AC2">
        <w:rPr>
          <w:rFonts w:ascii="Times" w:hAnsi="Times" w:cs="Sabon"/>
        </w:rPr>
        <w:t xml:space="preserve">, 2010), and high-throughput sequencing (e.g. Polato </w:t>
      </w:r>
      <w:r w:rsidRPr="00326AC2">
        <w:rPr>
          <w:rFonts w:ascii="Times" w:hAnsi="Times" w:cs="Sabon"/>
          <w:i/>
          <w:iCs/>
        </w:rPr>
        <w:t>et al.</w:t>
      </w:r>
      <w:r w:rsidRPr="00326AC2">
        <w:rPr>
          <w:rFonts w:ascii="Times" w:hAnsi="Times" w:cs="Sabon"/>
        </w:rPr>
        <w:t xml:space="preserve">, 2011; Philipp </w:t>
      </w:r>
      <w:r w:rsidRPr="00326AC2">
        <w:rPr>
          <w:rFonts w:ascii="Times" w:hAnsi="Times" w:cs="Sabon"/>
          <w:i/>
          <w:iCs/>
        </w:rPr>
        <w:t>et al.</w:t>
      </w:r>
      <w:r w:rsidRPr="00326AC2">
        <w:rPr>
          <w:rFonts w:ascii="Times" w:hAnsi="Times" w:cs="Sabon"/>
        </w:rPr>
        <w:t>, 2012). The use of high-throughput sequencing technology has exponentially increased available genome and transcript information for taxa of ecological interest in recent years. While these results provide an accurate portrayal of changes at the molecular level, it is common that proteins have a more direct role in regulating physiological processes and responding to environ</w:t>
      </w:r>
      <w:r w:rsidRPr="00326AC2">
        <w:rPr>
          <w:rFonts w:ascii="Times" w:hAnsi="Times" w:cs="Sabon"/>
        </w:rPr>
        <w:softHyphen/>
        <w:t>mental change.</w:t>
      </w:r>
    </w:p>
    <w:p w14:paraId="2391A104" w14:textId="7C9AB1ED" w:rsidR="00326AC2" w:rsidRPr="00326AC2" w:rsidRDefault="00326AC2" w:rsidP="00426D9F">
      <w:pPr>
        <w:pStyle w:val="Default"/>
        <w:spacing w:before="120" w:after="60" w:line="360" w:lineRule="auto"/>
        <w:ind w:firstLine="720"/>
        <w:jc w:val="both"/>
        <w:rPr>
          <w:rFonts w:ascii="Times" w:hAnsi="Times" w:cs="Sabon"/>
        </w:rPr>
      </w:pPr>
      <w:r w:rsidRPr="00326AC2">
        <w:rPr>
          <w:rFonts w:ascii="Times" w:hAnsi="Times" w:cs="Sabon"/>
        </w:rPr>
        <w:t>Historically, there have been several technical and analyti</w:t>
      </w:r>
      <w:r w:rsidRPr="00326AC2">
        <w:rPr>
          <w:rFonts w:ascii="Times" w:hAnsi="Times" w:cs="Sabon"/>
        </w:rPr>
        <w:softHyphen/>
        <w:t xml:space="preserve">cal challenges in characterizing global protein expression.  One challenge is the need to have sufficient genomic resources available to describe proteins of interest. Specifically, protein sequencing generally produces short amino acid fragments that require a known corresponding gene for identification and annotation purposes. However, lack of genomic resources has not completely hampered proteomic studies. For example, researchers characterized the physiological response of </w:t>
      </w:r>
      <w:r w:rsidRPr="00326AC2">
        <w:rPr>
          <w:rFonts w:ascii="Times" w:hAnsi="Times" w:cs="Sabon"/>
          <w:i/>
          <w:iCs/>
        </w:rPr>
        <w:t xml:space="preserve">Gillichthys mirabilis </w:t>
      </w:r>
      <w:r w:rsidRPr="00326AC2">
        <w:rPr>
          <w:rFonts w:ascii="Times" w:hAnsi="Times" w:cs="Sabon"/>
        </w:rPr>
        <w:t>gill tissue exposed to osmotic and tem</w:t>
      </w:r>
      <w:r w:rsidRPr="00326AC2">
        <w:rPr>
          <w:rFonts w:ascii="Times" w:hAnsi="Times" w:cs="Sabon"/>
        </w:rPr>
        <w:softHyphen/>
        <w:t>perature stress using two-dimensional gel electrophoresis without sequencing proteins (Kültz and Somero, 1996). In another study, researchers used surface enhanced laser desorp</w:t>
      </w:r>
      <w:r w:rsidRPr="00326AC2">
        <w:rPr>
          <w:rFonts w:ascii="Times" w:hAnsi="Times" w:cs="Sabon"/>
        </w:rPr>
        <w:softHyphen/>
        <w:t>tion/ionization and identified 11 differentially expressed pro</w:t>
      </w:r>
      <w:r w:rsidRPr="00326AC2">
        <w:rPr>
          <w:rFonts w:ascii="Times" w:hAnsi="Times" w:cs="Sabon"/>
        </w:rPr>
        <w:softHyphen/>
        <w:t xml:space="preserve">teins in the gill tissue of </w:t>
      </w:r>
      <w:r w:rsidRPr="00326AC2">
        <w:rPr>
          <w:rFonts w:ascii="Times" w:hAnsi="Times" w:cs="Sabon"/>
          <w:i/>
          <w:iCs/>
        </w:rPr>
        <w:t xml:space="preserve">Oncorhynchus mykiss </w:t>
      </w:r>
      <w:r w:rsidRPr="00326AC2">
        <w:rPr>
          <w:rFonts w:ascii="Times" w:hAnsi="Times" w:cs="Sabon"/>
        </w:rPr>
        <w:t xml:space="preserve">exposed to zinc stress (Hogstrand </w:t>
      </w:r>
      <w:r w:rsidRPr="00326AC2">
        <w:rPr>
          <w:rFonts w:ascii="Times" w:hAnsi="Times" w:cs="Sabon"/>
          <w:i/>
          <w:iCs/>
        </w:rPr>
        <w:t>et al.</w:t>
      </w:r>
      <w:r w:rsidRPr="00326AC2">
        <w:rPr>
          <w:rFonts w:ascii="Times" w:hAnsi="Times" w:cs="Sabon"/>
        </w:rPr>
        <w:t>, 2002). Four proteins were identi</w:t>
      </w:r>
      <w:r w:rsidRPr="00326AC2">
        <w:rPr>
          <w:rFonts w:ascii="Times" w:hAnsi="Times" w:cs="Sabon"/>
        </w:rPr>
        <w:softHyphen/>
        <w:t>fied based on a combination of their physical properties (i.e. mass and binding) coupled with sequence similarity compari</w:t>
      </w:r>
      <w:r w:rsidRPr="00326AC2">
        <w:rPr>
          <w:rFonts w:ascii="Times" w:hAnsi="Times" w:cs="Sabon"/>
        </w:rPr>
        <w:softHyphen/>
        <w:t xml:space="preserve">sons with the limited number of teleost protein sequences in the SwissProt database (Hogstrand </w:t>
      </w:r>
      <w:r w:rsidRPr="00326AC2">
        <w:rPr>
          <w:rFonts w:ascii="Times" w:hAnsi="Times" w:cs="Sabon"/>
          <w:i/>
          <w:iCs/>
        </w:rPr>
        <w:t>et al.</w:t>
      </w:r>
      <w:r w:rsidRPr="00326AC2">
        <w:rPr>
          <w:rFonts w:ascii="Times" w:hAnsi="Times" w:cs="Sabon"/>
        </w:rPr>
        <w:t xml:space="preserve">, 2002). </w:t>
      </w:r>
    </w:p>
    <w:p w14:paraId="5A17A224" w14:textId="24DAE548" w:rsidR="00326AC2" w:rsidRPr="00326AC2" w:rsidRDefault="00326AC2" w:rsidP="00426D9F">
      <w:pPr>
        <w:pStyle w:val="Default"/>
        <w:spacing w:before="120" w:after="60" w:line="360" w:lineRule="auto"/>
        <w:ind w:firstLine="720"/>
        <w:jc w:val="both"/>
        <w:rPr>
          <w:rFonts w:ascii="Times" w:hAnsi="Times" w:cs="Sabon"/>
        </w:rPr>
      </w:pPr>
      <w:r w:rsidRPr="00326AC2">
        <w:rPr>
          <w:rFonts w:ascii="Times" w:hAnsi="Times" w:cs="Sabon"/>
        </w:rPr>
        <w:t>The use of predicted protein sequences in closely related species can assist in annotation, but species-specific informa</w:t>
      </w:r>
      <w:r w:rsidRPr="00326AC2">
        <w:rPr>
          <w:rFonts w:ascii="Times" w:hAnsi="Times" w:cs="Sabon"/>
        </w:rPr>
        <w:softHyphen/>
        <w:t>tion will provide more accurate results. This is evident in a study on protein expression in pea (</w:t>
      </w:r>
      <w:r w:rsidRPr="00326AC2">
        <w:rPr>
          <w:rFonts w:ascii="Times" w:hAnsi="Times" w:cs="Sabon"/>
          <w:i/>
          <w:iCs/>
        </w:rPr>
        <w:t>Pisum sativum</w:t>
      </w:r>
      <w:r w:rsidRPr="00326AC2">
        <w:rPr>
          <w:rFonts w:ascii="Times" w:hAnsi="Times" w:cs="Sabon"/>
        </w:rPr>
        <w:t>) chloro</w:t>
      </w:r>
      <w:r w:rsidRPr="00326AC2">
        <w:rPr>
          <w:rFonts w:ascii="Times" w:hAnsi="Times" w:cs="Sabon"/>
        </w:rPr>
        <w:softHyphen/>
        <w:t xml:space="preserve">plasts, where concurrent complementary DNA sequencing facilitated the identification of a greater number of proteins compared with identification through homology searches with closely related model species (Bräutigam </w:t>
      </w:r>
      <w:r w:rsidRPr="00326AC2">
        <w:rPr>
          <w:rFonts w:ascii="Times" w:hAnsi="Times" w:cs="Sabon"/>
          <w:i/>
          <w:iCs/>
        </w:rPr>
        <w:t>et al.</w:t>
      </w:r>
      <w:r w:rsidRPr="00326AC2">
        <w:rPr>
          <w:rFonts w:ascii="Times" w:hAnsi="Times" w:cs="Sabon"/>
        </w:rPr>
        <w:t>, 2008). The reason that species-specific information provides such an advantage is due to how modern-day protein sequence iden</w:t>
      </w:r>
      <w:r w:rsidRPr="00326AC2">
        <w:rPr>
          <w:rFonts w:ascii="Times" w:hAnsi="Times" w:cs="Sabon"/>
        </w:rPr>
        <w:softHyphen/>
        <w:t>tification is executed. The vast majority of high-throughput mass spectrometry (MS) proteomics is accomplished by matching observed peptide fragmentation patterns (tandem mass spectra) to theoretical spectra. This is possible because peptides fragment in a predictable manner, allowing for theo</w:t>
      </w:r>
      <w:r w:rsidRPr="00326AC2">
        <w:rPr>
          <w:rFonts w:ascii="Times" w:hAnsi="Times" w:cs="Sabon"/>
        </w:rPr>
        <w:softHyphen/>
        <w:t xml:space="preserve">retical tandem mass spectra to be created </w:t>
      </w:r>
      <w:r w:rsidRPr="00326AC2">
        <w:rPr>
          <w:rFonts w:ascii="Times" w:hAnsi="Times" w:cs="Sabon"/>
          <w:i/>
          <w:iCs/>
        </w:rPr>
        <w:t xml:space="preserve">in silico </w:t>
      </w:r>
      <w:r w:rsidRPr="00326AC2">
        <w:rPr>
          <w:rFonts w:ascii="Times" w:hAnsi="Times" w:cs="Sabon"/>
        </w:rPr>
        <w:t>from a given protein sequence, stressing the importance of the data</w:t>
      </w:r>
      <w:r w:rsidRPr="00326AC2">
        <w:rPr>
          <w:rFonts w:ascii="Times" w:hAnsi="Times" w:cs="Sabon"/>
        </w:rPr>
        <w:softHyphen/>
        <w:t>base used. These correlation-based algorithms require the peptide mass (precursor mass) and peptide fragmentation (tandem mass spectrum). Even when employing databases of closely related species, a large number of viable tandem mass spectra of peptides might not be assigned accurately to a pro</w:t>
      </w:r>
      <w:r w:rsidRPr="00326AC2">
        <w:rPr>
          <w:rFonts w:ascii="Times" w:hAnsi="Times" w:cs="Sabon"/>
        </w:rPr>
        <w:softHyphen/>
        <w:t xml:space="preserve">tein, because a single amino acid mutation could significantly alter the peptide mass and resulting fragmentation pattern. </w:t>
      </w:r>
    </w:p>
    <w:p w14:paraId="1D16B946" w14:textId="26C16FAF"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rPr>
        <w:t>As technological advances have continued to increase the accessibility of whole transcriptomes and genomes to researchers, there is increasing interest in leveraging these data to carry out proteomic studies for both biological dis</w:t>
      </w:r>
      <w:r w:rsidRPr="00326AC2">
        <w:rPr>
          <w:rFonts w:ascii="Times" w:hAnsi="Times" w:cs="Sabon"/>
        </w:rPr>
        <w:softHyphen/>
        <w:t>covery and for better characterizing physiological responses to environmental change. Recently, the Pacific oyster (</w:t>
      </w:r>
      <w:r w:rsidRPr="00326AC2">
        <w:rPr>
          <w:rFonts w:ascii="Times" w:hAnsi="Times" w:cs="Sabon"/>
          <w:i/>
          <w:iCs/>
        </w:rPr>
        <w:t>Crassostrea gigas</w:t>
      </w:r>
      <w:r w:rsidRPr="00326AC2">
        <w:rPr>
          <w:rFonts w:ascii="Times" w:hAnsi="Times" w:cs="Sabon"/>
        </w:rPr>
        <w:t xml:space="preserve">) genome was sequenced (Zhang </w:t>
      </w:r>
      <w:r w:rsidRPr="00326AC2">
        <w:rPr>
          <w:rFonts w:ascii="Times" w:hAnsi="Times" w:cs="Sabon"/>
          <w:i/>
          <w:iCs/>
        </w:rPr>
        <w:t>et al.</w:t>
      </w:r>
      <w:r w:rsidRPr="00326AC2">
        <w:rPr>
          <w:rFonts w:ascii="Times" w:hAnsi="Times" w:cs="Sabon"/>
        </w:rPr>
        <w:t>, 2012). Given the availability of this resource, our objective was to quantify the level of information (and respective vari</w:t>
      </w:r>
      <w:r w:rsidRPr="00326AC2">
        <w:rPr>
          <w:rFonts w:ascii="Times" w:hAnsi="Times" w:cs="Sabon"/>
        </w:rPr>
        <w:softHyphen/>
        <w:t>ability) attainable in proteomic studi</w:t>
      </w:r>
      <w:r w:rsidR="00E57114">
        <w:rPr>
          <w:rFonts w:ascii="Times" w:hAnsi="Times" w:cs="Sabon"/>
        </w:rPr>
        <w:t>es in oysters. There have been</w:t>
      </w:r>
      <w:r w:rsidRPr="00326AC2">
        <w:rPr>
          <w:rFonts w:ascii="Times" w:hAnsi="Times" w:cs="Sabon"/>
        </w:rPr>
        <w:t xml:space="preserve"> several prior studies examining protein expression in oysters using liquid chromatography coupled with tandem mass spectrometry (LC-MS/MS) with samples separated by two-dimensional gel electrophoresis (2-DE) beforehand. In </w:t>
      </w:r>
      <w:r w:rsidRPr="00326AC2">
        <w:rPr>
          <w:rFonts w:ascii="Times" w:hAnsi="Times" w:cs="Sabon"/>
          <w:color w:val="000000"/>
        </w:rPr>
        <w:t>larval oysters, these proteomic techniques have identified spe</w:t>
      </w:r>
      <w:r w:rsidRPr="00326AC2">
        <w:rPr>
          <w:rFonts w:ascii="Times" w:hAnsi="Times" w:cs="Sabon"/>
          <w:color w:val="000000"/>
        </w:rPr>
        <w:softHyphen/>
        <w:t xml:space="preserve">cific proteins that are responsible for early developmental changes in </w:t>
      </w:r>
      <w:r w:rsidRPr="00326AC2">
        <w:rPr>
          <w:rFonts w:ascii="Times" w:hAnsi="Times" w:cs="Sabon"/>
          <w:i/>
          <w:iCs/>
          <w:color w:val="000000"/>
        </w:rPr>
        <w:t xml:space="preserve">C. gigas </w:t>
      </w:r>
      <w:r w:rsidRPr="00326AC2">
        <w:rPr>
          <w:rFonts w:ascii="Times" w:hAnsi="Times" w:cs="Sabon"/>
          <w:color w:val="000000"/>
        </w:rPr>
        <w:t xml:space="preserve">(Huan </w:t>
      </w:r>
      <w:r w:rsidRPr="00326AC2">
        <w:rPr>
          <w:rFonts w:ascii="Times" w:hAnsi="Times" w:cs="Sabon"/>
          <w:i/>
          <w:iCs/>
          <w:color w:val="000000"/>
        </w:rPr>
        <w:t>et al.</w:t>
      </w:r>
      <w:r w:rsidRPr="00326AC2">
        <w:rPr>
          <w:rFonts w:ascii="Times" w:hAnsi="Times" w:cs="Sabon"/>
          <w:color w:val="000000"/>
        </w:rPr>
        <w:t xml:space="preserve">, 2012) and the larval </w:t>
      </w:r>
      <w:r w:rsidRPr="00326AC2">
        <w:rPr>
          <w:rFonts w:ascii="Times" w:hAnsi="Times" w:cs="Sabon"/>
          <w:i/>
          <w:iCs/>
          <w:color w:val="000000"/>
        </w:rPr>
        <w:t xml:space="preserve">C. gigas </w:t>
      </w:r>
      <w:r w:rsidRPr="00326AC2">
        <w:rPr>
          <w:rFonts w:ascii="Times" w:hAnsi="Times" w:cs="Sabon"/>
          <w:color w:val="000000"/>
        </w:rPr>
        <w:t>response to elevated partial pressures of CO</w:t>
      </w:r>
      <w:r w:rsidRPr="00E57114">
        <w:rPr>
          <w:rStyle w:val="A9"/>
          <w:rFonts w:ascii="Times" w:hAnsi="Times"/>
          <w:sz w:val="24"/>
          <w:szCs w:val="24"/>
          <w:vertAlign w:val="subscript"/>
        </w:rPr>
        <w:t>2</w:t>
      </w:r>
      <w:r w:rsidRPr="00326AC2">
        <w:rPr>
          <w:rStyle w:val="A9"/>
          <w:rFonts w:ascii="Times" w:hAnsi="Times"/>
          <w:sz w:val="24"/>
          <w:szCs w:val="24"/>
        </w:rPr>
        <w:t xml:space="preserve"> </w:t>
      </w:r>
      <w:r w:rsidRPr="00326AC2">
        <w:rPr>
          <w:rFonts w:ascii="Times" w:hAnsi="Times" w:cs="Sabon"/>
          <w:color w:val="000000"/>
        </w:rPr>
        <w:t>(ocean acidifi</w:t>
      </w:r>
      <w:r w:rsidRPr="00326AC2">
        <w:rPr>
          <w:rFonts w:ascii="Times" w:hAnsi="Times" w:cs="Sabon"/>
          <w:color w:val="000000"/>
        </w:rPr>
        <w:softHyphen/>
        <w:t xml:space="preserve">cation; Dineshram </w:t>
      </w:r>
      <w:r w:rsidRPr="00326AC2">
        <w:rPr>
          <w:rFonts w:ascii="Times" w:hAnsi="Times" w:cs="Sabon"/>
          <w:i/>
          <w:iCs/>
          <w:color w:val="000000"/>
        </w:rPr>
        <w:t>et al.</w:t>
      </w:r>
      <w:r w:rsidRPr="00326AC2">
        <w:rPr>
          <w:rFonts w:ascii="Times" w:hAnsi="Times" w:cs="Sabon"/>
          <w:color w:val="000000"/>
        </w:rPr>
        <w:t>, 2012). These methods have also been used to identify and sequence proteins that are differen</w:t>
      </w:r>
      <w:r w:rsidRPr="00326AC2">
        <w:rPr>
          <w:rFonts w:ascii="Times" w:hAnsi="Times" w:cs="Sabon"/>
          <w:color w:val="000000"/>
        </w:rPr>
        <w:softHyphen/>
        <w:t>tially regulated in a range of physiological situations in adult oyster species. The discoveries include the following: the up-regulation of antioxidant proteins in response to ocean acidi</w:t>
      </w:r>
      <w:r w:rsidRPr="00326AC2">
        <w:rPr>
          <w:rFonts w:ascii="Times" w:hAnsi="Times" w:cs="Sabon"/>
          <w:color w:val="000000"/>
        </w:rPr>
        <w:softHyphen/>
        <w:t xml:space="preserve">fication (Tomanek </w:t>
      </w:r>
      <w:r w:rsidRPr="00326AC2">
        <w:rPr>
          <w:rFonts w:ascii="Times" w:hAnsi="Times" w:cs="Sabon"/>
          <w:i/>
          <w:iCs/>
          <w:color w:val="000000"/>
        </w:rPr>
        <w:t>et al.</w:t>
      </w:r>
      <w:r w:rsidRPr="00326AC2">
        <w:rPr>
          <w:rFonts w:ascii="Times" w:hAnsi="Times" w:cs="Sabon"/>
          <w:color w:val="000000"/>
        </w:rPr>
        <w:t xml:space="preserve">, 2011); expression profiles denoting high-quality oocytes (Corporeau </w:t>
      </w:r>
      <w:r w:rsidRPr="00326AC2">
        <w:rPr>
          <w:rFonts w:ascii="Times" w:hAnsi="Times" w:cs="Sabon"/>
          <w:i/>
          <w:iCs/>
          <w:color w:val="000000"/>
        </w:rPr>
        <w:t>et al.</w:t>
      </w:r>
      <w:r w:rsidRPr="00326AC2">
        <w:rPr>
          <w:rFonts w:ascii="Times" w:hAnsi="Times" w:cs="Sabon"/>
          <w:color w:val="000000"/>
        </w:rPr>
        <w:t>, 2012); differing pro</w:t>
      </w:r>
      <w:r w:rsidRPr="00326AC2">
        <w:rPr>
          <w:rFonts w:ascii="Times" w:hAnsi="Times" w:cs="Sabon"/>
          <w:color w:val="000000"/>
        </w:rPr>
        <w:softHyphen/>
        <w:t>teomic profiles between disease-resistant and disease-suscep</w:t>
      </w:r>
      <w:r w:rsidRPr="00326AC2">
        <w:rPr>
          <w:rFonts w:ascii="Times" w:hAnsi="Times" w:cs="Sabon"/>
          <w:color w:val="000000"/>
        </w:rPr>
        <w:softHyphen/>
        <w:t xml:space="preserve">tible oysters (Simonian </w:t>
      </w:r>
      <w:r w:rsidRPr="00326AC2">
        <w:rPr>
          <w:rFonts w:ascii="Times" w:hAnsi="Times" w:cs="Sabon"/>
          <w:i/>
          <w:iCs/>
          <w:color w:val="000000"/>
        </w:rPr>
        <w:t>et al.</w:t>
      </w:r>
      <w:r w:rsidRPr="00326AC2">
        <w:rPr>
          <w:rFonts w:ascii="Times" w:hAnsi="Times" w:cs="Sabon"/>
          <w:color w:val="000000"/>
        </w:rPr>
        <w:t xml:space="preserve">, 2009); and specific responses to metal exposure (Thompson </w:t>
      </w:r>
      <w:r w:rsidRPr="00326AC2">
        <w:rPr>
          <w:rFonts w:ascii="Times" w:hAnsi="Times" w:cs="Sabon"/>
          <w:i/>
          <w:iCs/>
          <w:color w:val="000000"/>
        </w:rPr>
        <w:t>et al.</w:t>
      </w:r>
      <w:r w:rsidRPr="00326AC2">
        <w:rPr>
          <w:rFonts w:ascii="Times" w:hAnsi="Times" w:cs="Sabon"/>
          <w:color w:val="000000"/>
        </w:rPr>
        <w:t xml:space="preserve">, 2011, 2012a, 2012b; Liu and Wang, 2012) and acid sulfate run-off (Amaral </w:t>
      </w:r>
      <w:r w:rsidRPr="00326AC2">
        <w:rPr>
          <w:rFonts w:ascii="Times" w:hAnsi="Times" w:cs="Sabon"/>
          <w:i/>
          <w:iCs/>
          <w:color w:val="000000"/>
        </w:rPr>
        <w:t>et al.</w:t>
      </w:r>
      <w:r w:rsidRPr="00326AC2">
        <w:rPr>
          <w:rFonts w:ascii="Times" w:hAnsi="Times" w:cs="Sabon"/>
          <w:color w:val="000000"/>
        </w:rPr>
        <w:t>, 2012). These seminal studies in marine invertebrate pro</w:t>
      </w:r>
      <w:r w:rsidRPr="00326AC2">
        <w:rPr>
          <w:rFonts w:ascii="Times" w:hAnsi="Times" w:cs="Sabon"/>
          <w:color w:val="000000"/>
        </w:rPr>
        <w:softHyphen/>
        <w:t>teomics demonstrate that analysis of global protein expres</w:t>
      </w:r>
      <w:r w:rsidRPr="00326AC2">
        <w:rPr>
          <w:rFonts w:ascii="Times" w:hAnsi="Times" w:cs="Sabon"/>
          <w:color w:val="000000"/>
        </w:rPr>
        <w:softHyphen/>
        <w:t xml:space="preserve">sion is a powerful tool to facilitate our understanding of the molecular physiological response to environmental stressors. </w:t>
      </w:r>
    </w:p>
    <w:p w14:paraId="0BCE6B9A" w14:textId="77777777"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An alternative to 2-DE approaches is to perform shotgun proteomics. Shotgun proteomics is the sequencing of a com</w:t>
      </w:r>
      <w:r w:rsidRPr="00326AC2">
        <w:rPr>
          <w:rFonts w:ascii="Times" w:hAnsi="Times" w:cs="Sabon"/>
          <w:color w:val="000000"/>
        </w:rPr>
        <w:softHyphen/>
        <w:t xml:space="preserve">plex mixture of peptides using LC-MS/MS without prior separation (i.e. 2-DE). One of the main advantages of using 2-DE methods is that information on the physical properties of the proteins (mass and isoelectric point) can be used in the protein identification, whereas these empirical data are lost in the strictly tandem MS approaches. However, tandem MS has significantly greater data efficiency than gel-based approaches. The use of shotgun proteomics allows for a greater number of proteins to be identified rapidly from a single sample, providing a more complete metabolic picture of cellular function and physiology. This method has been demonstrated by Muralidharan </w:t>
      </w:r>
      <w:r w:rsidRPr="00326AC2">
        <w:rPr>
          <w:rFonts w:ascii="Times" w:hAnsi="Times" w:cs="Sabon"/>
          <w:i/>
          <w:iCs/>
          <w:color w:val="000000"/>
        </w:rPr>
        <w:t xml:space="preserve">et al. </w:t>
      </w:r>
      <w:r w:rsidRPr="00326AC2">
        <w:rPr>
          <w:rFonts w:ascii="Times" w:hAnsi="Times" w:cs="Sabon"/>
          <w:color w:val="000000"/>
        </w:rPr>
        <w:t>(2012), who used shot</w:t>
      </w:r>
      <w:r w:rsidRPr="00326AC2">
        <w:rPr>
          <w:rFonts w:ascii="Times" w:hAnsi="Times" w:cs="Sabon"/>
          <w:color w:val="000000"/>
        </w:rPr>
        <w:softHyphen/>
        <w:t xml:space="preserve">gun proteomics to uncover </w:t>
      </w:r>
      <w:r w:rsidRPr="00326AC2">
        <w:rPr>
          <w:rFonts w:ascii="Times" w:hAnsi="Times" w:cs="Sabon"/>
          <w:i/>
          <w:iCs/>
          <w:color w:val="000000"/>
        </w:rPr>
        <w:t xml:space="preserve">Saccostrea glomerata </w:t>
      </w:r>
      <w:r w:rsidRPr="00326AC2">
        <w:rPr>
          <w:rFonts w:ascii="Times" w:hAnsi="Times" w:cs="Sabon"/>
          <w:color w:val="000000"/>
        </w:rPr>
        <w:t xml:space="preserve">haemocyte proteomic responses to metal contamination, and by Dheilly </w:t>
      </w:r>
      <w:r w:rsidRPr="00326AC2">
        <w:rPr>
          <w:rFonts w:ascii="Times" w:hAnsi="Times" w:cs="Sabon"/>
          <w:i/>
          <w:iCs/>
          <w:color w:val="000000"/>
        </w:rPr>
        <w:t xml:space="preserve">et al. </w:t>
      </w:r>
      <w:r w:rsidRPr="00326AC2">
        <w:rPr>
          <w:rFonts w:ascii="Times" w:hAnsi="Times" w:cs="Sabon"/>
          <w:color w:val="000000"/>
        </w:rPr>
        <w:t xml:space="preserve">(2012, 2013), who explored the proteomic response of coelomocytes to immune challenge in two urchin species. </w:t>
      </w:r>
    </w:p>
    <w:p w14:paraId="2257E83E" w14:textId="0902BD21" w:rsidR="00326AC2" w:rsidRPr="00326AC2" w:rsidRDefault="00326AC2" w:rsidP="00426D9F">
      <w:pPr>
        <w:pStyle w:val="Default"/>
        <w:spacing w:line="360" w:lineRule="auto"/>
        <w:ind w:firstLine="720"/>
        <w:rPr>
          <w:rFonts w:ascii="Times" w:hAnsi="Times" w:cs="Sabon"/>
        </w:rPr>
      </w:pPr>
      <w:r w:rsidRPr="00326AC2">
        <w:rPr>
          <w:rFonts w:ascii="Times" w:hAnsi="Times" w:cs="Sabon"/>
        </w:rPr>
        <w:t xml:space="preserve">In this study, we used shotgun proteomics to sequence the gill proteome of the Pacific oyster, </w:t>
      </w:r>
      <w:r w:rsidRPr="00326AC2">
        <w:rPr>
          <w:rFonts w:ascii="Times" w:hAnsi="Times" w:cs="Sabon"/>
          <w:i/>
          <w:iCs/>
        </w:rPr>
        <w:t>Crassostrea gigas</w:t>
      </w:r>
      <w:r w:rsidRPr="00326AC2">
        <w:rPr>
          <w:rFonts w:ascii="Times" w:hAnsi="Times" w:cs="Sabon"/>
        </w:rPr>
        <w:t>. The gill is the interface between bivalves and their environment, necessi</w:t>
      </w:r>
      <w:r w:rsidRPr="00326AC2">
        <w:rPr>
          <w:rFonts w:ascii="Times" w:hAnsi="Times" w:cs="Sabon"/>
        </w:rPr>
        <w:softHyphen/>
        <w:t>tating that the tissue performs a variety of physiological func</w:t>
      </w:r>
      <w:r w:rsidRPr="00326AC2">
        <w:rPr>
          <w:rFonts w:ascii="Times" w:hAnsi="Times" w:cs="Sabon"/>
        </w:rPr>
        <w:softHyphen/>
        <w:t xml:space="preserve">tions in response to the environment (e.g. David </w:t>
      </w:r>
      <w:r w:rsidRPr="00326AC2">
        <w:rPr>
          <w:rFonts w:ascii="Times" w:hAnsi="Times" w:cs="Sabon"/>
          <w:i/>
          <w:iCs/>
        </w:rPr>
        <w:t>et al.</w:t>
      </w:r>
      <w:r w:rsidRPr="00326AC2">
        <w:rPr>
          <w:rFonts w:ascii="Times" w:hAnsi="Times" w:cs="Sabon"/>
        </w:rPr>
        <w:t xml:space="preserve">, 2007; Wang </w:t>
      </w:r>
      <w:r w:rsidRPr="00326AC2">
        <w:rPr>
          <w:rFonts w:ascii="Times" w:hAnsi="Times" w:cs="Sabon"/>
          <w:i/>
          <w:iCs/>
        </w:rPr>
        <w:t>et al.</w:t>
      </w:r>
      <w:r w:rsidRPr="00326AC2">
        <w:rPr>
          <w:rFonts w:ascii="Times" w:hAnsi="Times" w:cs="Sabon"/>
        </w:rPr>
        <w:t>, 2010). The identification of proteins that are expressed in gill tissue supports the development of tools that can help to guide future research on the molecular physiology of molluscs faced with stresses such as climate change and dis</w:t>
      </w:r>
      <w:r w:rsidRPr="00326AC2">
        <w:rPr>
          <w:rFonts w:ascii="Times" w:hAnsi="Times" w:cs="Sabon"/>
        </w:rPr>
        <w:softHyphen/>
        <w:t>ease. The goal of this study was to determine the effectiveness of using a shotgun proteomics approach and to carry out func</w:t>
      </w:r>
      <w:r w:rsidRPr="00326AC2">
        <w:rPr>
          <w:rFonts w:ascii="Times" w:hAnsi="Times" w:cs="Sabon"/>
        </w:rPr>
        <w:softHyphen/>
        <w:t>tional characterization of proteins expressed in gill tissue.</w:t>
      </w:r>
    </w:p>
    <w:p w14:paraId="2DC984F3" w14:textId="77777777" w:rsidR="00C02D9B" w:rsidRDefault="00C02D9B" w:rsidP="00C02D9B">
      <w:pPr>
        <w:pStyle w:val="Heading2"/>
      </w:pPr>
      <w:bookmarkStart w:id="35" w:name="_Toc257278789"/>
      <w:r>
        <w:t>Methods</w:t>
      </w:r>
      <w:bookmarkEnd w:id="35"/>
    </w:p>
    <w:p w14:paraId="491E47B8" w14:textId="3795C926" w:rsidR="00326AC2" w:rsidRDefault="00326AC2" w:rsidP="00326AC2">
      <w:pPr>
        <w:pStyle w:val="Heading3"/>
      </w:pPr>
      <w:bookmarkStart w:id="36" w:name="_Toc257278790"/>
      <w:r>
        <w:t>Oysters</w:t>
      </w:r>
      <w:bookmarkEnd w:id="36"/>
    </w:p>
    <w:p w14:paraId="448E0B0D" w14:textId="77777777" w:rsidR="0013210F" w:rsidRPr="0013210F" w:rsidRDefault="0013210F" w:rsidP="0013210F"/>
    <w:p w14:paraId="0686FBAB" w14:textId="1B044373" w:rsidR="00326AC2" w:rsidRPr="00326AC2" w:rsidRDefault="00326AC2" w:rsidP="00426D9F">
      <w:pPr>
        <w:spacing w:line="360" w:lineRule="auto"/>
        <w:ind w:firstLine="720"/>
        <w:rPr>
          <w:rFonts w:ascii="Times" w:hAnsi="Times"/>
        </w:rPr>
      </w:pPr>
      <w:r w:rsidRPr="00326AC2">
        <w:rPr>
          <w:rFonts w:ascii="Times" w:hAnsi="Times" w:cs="Sabon"/>
          <w:color w:val="000000"/>
        </w:rPr>
        <w:t>Pacific oysters (</w:t>
      </w:r>
      <w:r w:rsidRPr="00326AC2">
        <w:rPr>
          <w:rFonts w:ascii="Times" w:hAnsi="Times" w:cs="Sabon"/>
          <w:i/>
          <w:iCs/>
          <w:color w:val="000000"/>
        </w:rPr>
        <w:t>C. gigas</w:t>
      </w:r>
      <w:r w:rsidRPr="00326AC2">
        <w:rPr>
          <w:rFonts w:ascii="Times" w:hAnsi="Times" w:cs="Sabon"/>
          <w:color w:val="000000"/>
        </w:rPr>
        <w:t>,</w:t>
      </w:r>
      <w:r w:rsidR="00E57114">
        <w:rPr>
          <w:rFonts w:ascii="Times" w:hAnsi="Times" w:cs="Sabon"/>
          <w:color w:val="000000"/>
        </w:rPr>
        <w:t xml:space="preserve"> 11</w:t>
      </w:r>
      <w:r w:rsidRPr="00326AC2">
        <w:rPr>
          <w:rFonts w:ascii="Times" w:hAnsi="Times" w:cs="Sabon"/>
          <w:color w:val="000000"/>
        </w:rPr>
        <w:t xml:space="preserve"> months old) were collected in Shelton, WA, USA. Oysters were transferred to Friday Harbor Laboratories (Friday Harbor, WA, USA) into a flow-through syste</w:t>
      </w:r>
      <w:r w:rsidR="00E57114">
        <w:rPr>
          <w:rFonts w:ascii="Times" w:hAnsi="Times" w:cs="Sabon"/>
          <w:color w:val="000000"/>
        </w:rPr>
        <w:t>m at 13°C for 6 weeks. Eight 4 L</w:t>
      </w:r>
      <w:r w:rsidRPr="00326AC2">
        <w:rPr>
          <w:rFonts w:ascii="Times" w:hAnsi="Times" w:cs="Sabon"/>
          <w:color w:val="000000"/>
        </w:rPr>
        <w:t xml:space="preserve"> vessels contain</w:t>
      </w:r>
      <w:r w:rsidRPr="00326AC2">
        <w:rPr>
          <w:rFonts w:ascii="Times" w:hAnsi="Times" w:cs="Sabon"/>
          <w:color w:val="000000"/>
        </w:rPr>
        <w:softHyphen/>
        <w:t>ing six oysters each were kept in a water bath with seawate</w:t>
      </w:r>
      <w:r w:rsidR="00E57114">
        <w:rPr>
          <w:rFonts w:ascii="Times" w:hAnsi="Times" w:cs="Sabon"/>
          <w:color w:val="000000"/>
        </w:rPr>
        <w:t>r flowing through at 57.5 ml min</w:t>
      </w:r>
      <w:r w:rsidR="00E57114" w:rsidRPr="00E57114">
        <w:rPr>
          <w:rFonts w:ascii="Times" w:hAnsi="Times" w:cs="Sabon"/>
          <w:color w:val="000000"/>
          <w:vertAlign w:val="superscript"/>
        </w:rPr>
        <w:t>-1</w:t>
      </w:r>
      <w:r w:rsidRPr="00326AC2">
        <w:rPr>
          <w:rFonts w:ascii="Times" w:hAnsi="Times" w:cs="Sabon"/>
          <w:color w:val="000000"/>
        </w:rPr>
        <w:t>. Vessels were cleaned every other day with fresh-water and salt-water rinses. Oysters were fed Shellfish Diet 1800 (Reed Mariculture, Campbell, CA, USA). At the end of six weeks, gill tissue was removed from four oysters and immediately flash frozen in liquid nitrogen for proteomic analysis.</w:t>
      </w:r>
    </w:p>
    <w:p w14:paraId="29B2488B" w14:textId="617887A4" w:rsidR="00326AC2" w:rsidRDefault="00326AC2" w:rsidP="00326AC2">
      <w:pPr>
        <w:pStyle w:val="Heading3"/>
      </w:pPr>
      <w:bookmarkStart w:id="37" w:name="_Toc257278791"/>
      <w:r>
        <w:t>Protein digestion and desalting</w:t>
      </w:r>
      <w:bookmarkEnd w:id="37"/>
    </w:p>
    <w:p w14:paraId="184AC977" w14:textId="77777777" w:rsidR="0013210F" w:rsidRPr="0013210F" w:rsidRDefault="0013210F" w:rsidP="0013210F"/>
    <w:p w14:paraId="6431411A" w14:textId="77777777" w:rsidR="00326AC2" w:rsidRPr="00326AC2" w:rsidRDefault="00326AC2" w:rsidP="00426D9F">
      <w:pPr>
        <w:pStyle w:val="Pa13"/>
        <w:spacing w:before="60" w:after="60" w:line="360" w:lineRule="auto"/>
        <w:ind w:firstLine="720"/>
        <w:jc w:val="both"/>
        <w:rPr>
          <w:rFonts w:ascii="Times" w:hAnsi="Times" w:cs="Sabon"/>
          <w:color w:val="000000"/>
        </w:rPr>
      </w:pPr>
      <w:r w:rsidRPr="00326AC2">
        <w:rPr>
          <w:rFonts w:ascii="Times" w:hAnsi="Times" w:cs="Sabon"/>
          <w:color w:val="000000"/>
        </w:rPr>
        <w:t>Gill tissue samples (50–100 mg) were homogenized in 50 mM NH</w:t>
      </w:r>
      <w:r w:rsidRPr="00E57114">
        <w:rPr>
          <w:rStyle w:val="A9"/>
          <w:rFonts w:ascii="Times" w:hAnsi="Times"/>
          <w:sz w:val="24"/>
          <w:szCs w:val="24"/>
          <w:vertAlign w:val="subscript"/>
        </w:rPr>
        <w:t>4</w:t>
      </w:r>
      <w:r w:rsidRPr="00326AC2">
        <w:rPr>
          <w:rFonts w:ascii="Times" w:hAnsi="Times" w:cs="Sabon"/>
          <w:color w:val="000000"/>
        </w:rPr>
        <w:t>HCO</w:t>
      </w:r>
      <w:r w:rsidRPr="00E57114">
        <w:rPr>
          <w:rStyle w:val="A9"/>
          <w:rFonts w:ascii="Times" w:hAnsi="Times"/>
          <w:sz w:val="24"/>
          <w:szCs w:val="24"/>
          <w:vertAlign w:val="subscript"/>
        </w:rPr>
        <w:t>3</w:t>
      </w:r>
      <w:r w:rsidRPr="00326AC2">
        <w:rPr>
          <w:rStyle w:val="A9"/>
          <w:rFonts w:ascii="Times" w:hAnsi="Times"/>
          <w:sz w:val="24"/>
          <w:szCs w:val="24"/>
        </w:rPr>
        <w:t xml:space="preserve"> </w:t>
      </w:r>
      <w:r w:rsidRPr="00326AC2">
        <w:rPr>
          <w:rFonts w:ascii="Times" w:hAnsi="Times" w:cs="Sabon"/>
          <w:color w:val="000000"/>
        </w:rPr>
        <w:t>(100 μl) using RNAse-free plastic pestles. Each homogenized gill sample was sonicated four times with a probe sonicator and stored on dry ice between sonications. After sonication, protein concentrations were measured using the Bradford assay, following the manufacturer’s protocol (Pierce, Thermo Fisher Scientific, Rockford, IL, USA). Urea (36 mg) was added to each sample (for a total concentration of 6 M) to denature and solubilize peptides. Next, 1.5 M Tris (pH 8.8; 6.6 μl) was added, followed by 200 mM (</w:t>
      </w:r>
      <w:r w:rsidRPr="00326AC2">
        <w:rPr>
          <w:rFonts w:ascii="Times" w:hAnsi="Times" w:cs="Sabon"/>
          <w:i/>
          <w:iCs/>
          <w:color w:val="000000"/>
        </w:rPr>
        <w:t>tris</w:t>
      </w:r>
      <w:r w:rsidRPr="00326AC2">
        <w:rPr>
          <w:rFonts w:ascii="Times" w:hAnsi="Times" w:cs="Sabon"/>
          <w:color w:val="000000"/>
        </w:rPr>
        <w:t>(2-car</w:t>
      </w:r>
      <w:r w:rsidRPr="00326AC2">
        <w:rPr>
          <w:rFonts w:ascii="Times" w:hAnsi="Times" w:cs="Sabon"/>
          <w:color w:val="000000"/>
        </w:rPr>
        <w:softHyphen/>
        <w:t>boxyethyl)phosphine) (2.5 μl). Samples were incubated for 1 h at 37°C on a shaker. To alkylate the proteins, 200 mM iodoacetamide (20 μl) was added. Samples were then vor</w:t>
      </w:r>
      <w:r w:rsidRPr="00326AC2">
        <w:rPr>
          <w:rFonts w:ascii="Times" w:hAnsi="Times" w:cs="Sabon"/>
          <w:color w:val="000000"/>
        </w:rPr>
        <w:softHyphen/>
        <w:t>texed, and incubated for 1 h at room temperature in the dark. To absorb excess iodoacetamide, 200 mM dithiolthreitol (20 μl) was added, followed by vortexing and incubation at room temperature for 1 h. A volume equal to approximately 100 μg was removed, and the remainder was discarded. Ammonium bicarbonate (200 μl of 25 mM) was added to dilute the urea, and then high-pressure liquid chromagogra</w:t>
      </w:r>
      <w:r w:rsidRPr="00326AC2">
        <w:rPr>
          <w:rFonts w:ascii="Times" w:hAnsi="Times" w:cs="Sabon"/>
          <w:color w:val="000000"/>
        </w:rPr>
        <w:softHyphen/>
        <w:t>phy (HPLC) grade MeOH (50 μl) was added to each tube. Trypsin was solubilized in a trypsin dilution buffer (20 μl) to a concentration of 1 μg/μl (Promega, Madison, WI, USA), and 3 μl of this solution was added to each sample to digest the proteins enzymatically. The samples were incubated over</w:t>
      </w:r>
      <w:r w:rsidRPr="00326AC2">
        <w:rPr>
          <w:rFonts w:ascii="Times" w:hAnsi="Times" w:cs="Sabon"/>
          <w:color w:val="000000"/>
        </w:rPr>
        <w:softHyphen/>
        <w:t>night at 37°C. The next day, dilute formic acid was added, and the samples were evaporated on the speed vac to near dryness. Samples were reconstituted in 200 μl of 5% acetoni</w:t>
      </w:r>
      <w:r w:rsidRPr="00326AC2">
        <w:rPr>
          <w:rFonts w:ascii="Times" w:hAnsi="Times" w:cs="Sabon"/>
          <w:color w:val="000000"/>
        </w:rPr>
        <w:softHyphen/>
        <w:t xml:space="preserve">trile and 0.1% trifluoroacetic acid. </w:t>
      </w:r>
    </w:p>
    <w:p w14:paraId="2275564C" w14:textId="509B7D1A" w:rsidR="00326AC2" w:rsidRPr="00326AC2" w:rsidRDefault="00326AC2" w:rsidP="00426D9F">
      <w:pPr>
        <w:spacing w:line="360" w:lineRule="auto"/>
        <w:ind w:firstLine="720"/>
        <w:rPr>
          <w:rFonts w:ascii="Times" w:hAnsi="Times"/>
        </w:rPr>
      </w:pPr>
      <w:r w:rsidRPr="00326AC2">
        <w:rPr>
          <w:rFonts w:ascii="Times" w:hAnsi="Times" w:cs="Sabon"/>
          <w:color w:val="000000"/>
        </w:rPr>
        <w:t>Samples were desalted by passage through a pre-prepared MacroSpin column, following the manufacturer’s specifica</w:t>
      </w:r>
      <w:r w:rsidRPr="00326AC2">
        <w:rPr>
          <w:rFonts w:ascii="Times" w:hAnsi="Times" w:cs="Sabon"/>
          <w:color w:val="000000"/>
        </w:rPr>
        <w:softHyphen/>
        <w:t>tions (The Nest Group, Southborough, MA, USA). After desalting, the remaining solvent was evaporated using a speed vac.</w:t>
      </w:r>
    </w:p>
    <w:p w14:paraId="085289AE" w14:textId="4210D3F7" w:rsidR="00326AC2" w:rsidRDefault="00326AC2" w:rsidP="00326AC2">
      <w:pPr>
        <w:pStyle w:val="Heading3"/>
      </w:pPr>
      <w:bookmarkStart w:id="38" w:name="_Toc257278792"/>
      <w:r>
        <w:t>Liquid chromatography and tandem mass spectrometry</w:t>
      </w:r>
      <w:bookmarkEnd w:id="38"/>
    </w:p>
    <w:p w14:paraId="081FA89C" w14:textId="77777777" w:rsidR="0013210F" w:rsidRPr="0013210F" w:rsidRDefault="0013210F" w:rsidP="0013210F"/>
    <w:p w14:paraId="46E2134D" w14:textId="1C2E982E" w:rsidR="00326AC2" w:rsidRPr="00326AC2" w:rsidRDefault="00326AC2" w:rsidP="00426D9F">
      <w:pPr>
        <w:spacing w:line="360" w:lineRule="auto"/>
        <w:ind w:firstLine="720"/>
        <w:rPr>
          <w:rFonts w:ascii="Times" w:hAnsi="Times"/>
        </w:rPr>
      </w:pPr>
      <w:r w:rsidRPr="00326AC2">
        <w:rPr>
          <w:rFonts w:ascii="Times" w:hAnsi="Times" w:cs="Sabon"/>
          <w:color w:val="000000"/>
        </w:rPr>
        <w:t>Mass spectrometry was performed at the University of Washington Proteomics Resource (Seattle, WA, USA). Samples were resuspended in 2% acetonitrile and 0.1% for</w:t>
      </w:r>
      <w:r w:rsidRPr="00326AC2">
        <w:rPr>
          <w:rFonts w:ascii="Times" w:hAnsi="Times" w:cs="Sabon"/>
          <w:color w:val="000000"/>
        </w:rPr>
        <w:softHyphen/>
        <w:t>mic acid in water (100 μl). Samples were then vortexed to mix and spun down at 21130 × g for 10 min. The superna</w:t>
      </w:r>
      <w:r w:rsidRPr="00326AC2">
        <w:rPr>
          <w:rFonts w:ascii="Times" w:hAnsi="Times" w:cs="Sabon"/>
          <w:color w:val="000000"/>
        </w:rPr>
        <w:softHyphen/>
        <w:t>tant was aliquoted to autosampler vials. Nano LC separation was performed with a nanoACUITY system (Waters, Milford, MA, USA) interfaced to an LTQ Orbitrap XL mass spectrom</w:t>
      </w:r>
      <w:r w:rsidRPr="00326AC2">
        <w:rPr>
          <w:rFonts w:ascii="Times" w:hAnsi="Times" w:cs="Sabon"/>
          <w:color w:val="000000"/>
        </w:rPr>
        <w:softHyphen/>
        <w:t>eter (Thermo Scientific, San Jose, CA, USA). Peptides were trapped on a 100 μm i.d. × 20 mm long pre-column packed with 200 Å (5 μm) Magic C18 particles (C18AQ; Michrom, Auburn, CA, USA). For separation, a 75 μm i.d. × 250 mm long analytical column with a laser pulled emitter tip packed with 100 Å (5 μm) Magic C18 particles (C18Q; Michrom) was used and analysed in positive ion mode. For each LC-MS/ MS analysis, an estimated amount of 0.5 μg of peptides was loaded</w:t>
      </w:r>
      <w:r w:rsidR="00E57114">
        <w:rPr>
          <w:rFonts w:ascii="Times" w:hAnsi="Times" w:cs="Sabon"/>
          <w:color w:val="000000"/>
        </w:rPr>
        <w:t xml:space="preserve"> onto the pre-column at 2 μl min</w:t>
      </w:r>
      <w:r w:rsidR="00E57114" w:rsidRPr="00E57114">
        <w:rPr>
          <w:rFonts w:ascii="Times" w:hAnsi="Times" w:cs="Sabon"/>
          <w:color w:val="000000"/>
          <w:vertAlign w:val="superscript"/>
        </w:rPr>
        <w:t>-1</w:t>
      </w:r>
      <w:r w:rsidRPr="00326AC2">
        <w:rPr>
          <w:rFonts w:ascii="Times" w:hAnsi="Times" w:cs="Sabon"/>
          <w:color w:val="000000"/>
        </w:rPr>
        <w:t xml:space="preserve"> in water/acetonitrile (98%/2%), with 0.1% (v/v) formic acid. Peptides were eluted using an acetonitrile gradient flowing at </w:t>
      </w:r>
      <w:r w:rsidR="00E57114">
        <w:rPr>
          <w:rFonts w:ascii="Times" w:hAnsi="Times" w:cs="Sabon"/>
          <w:color w:val="000000"/>
        </w:rPr>
        <w:t xml:space="preserve">240 nl </w:t>
      </w:r>
      <w:r w:rsidRPr="00326AC2">
        <w:rPr>
          <w:rFonts w:ascii="Times" w:hAnsi="Times" w:cs="Sabon"/>
          <w:color w:val="000000"/>
        </w:rPr>
        <w:t>min</w:t>
      </w:r>
      <w:r w:rsidR="00E57114" w:rsidRPr="00E57114">
        <w:rPr>
          <w:rFonts w:ascii="Times" w:hAnsi="Times" w:cs="Sabon"/>
          <w:color w:val="000000"/>
          <w:vertAlign w:val="superscript"/>
        </w:rPr>
        <w:t>-1</w:t>
      </w:r>
      <w:r w:rsidRPr="00326AC2">
        <w:rPr>
          <w:rFonts w:ascii="Times" w:hAnsi="Times" w:cs="Sabon"/>
          <w:color w:val="000000"/>
        </w:rPr>
        <w:t>, using a mobile phase consisting of the following components: Solvent C (water, 0.1% formic acid) and Solvent D (acetoni</w:t>
      </w:r>
      <w:r w:rsidRPr="00326AC2">
        <w:rPr>
          <w:rFonts w:ascii="Times" w:hAnsi="Times" w:cs="Sabon"/>
          <w:color w:val="000000"/>
        </w:rPr>
        <w:softHyphen/>
        <w:t>trile, 0.1% formic acid). The gradient programme was as fol</w:t>
      </w:r>
      <w:r w:rsidRPr="00326AC2">
        <w:rPr>
          <w:rFonts w:ascii="Times" w:hAnsi="Times" w:cs="Sabon"/>
          <w:color w:val="000000"/>
        </w:rPr>
        <w:softHyphen/>
        <w:t>lows: 0–1 min, Solvent C (98%) and Solvent D (2%); 1 min, Solvent C (90%) and Solvent D (10%); 90 min, Solvent C (65%) and Solvent D (35%); 91–101 min, Solvent C (20%) and Solvent D (80%); and 102–120 min, Solvent C (98%) and Solvent D (2%). Peptide spectra were acquired by scans in the Orbitrap followed by the ion trap.</w:t>
      </w:r>
    </w:p>
    <w:p w14:paraId="67F87797" w14:textId="1C04BB76" w:rsidR="00326AC2" w:rsidRDefault="00326AC2" w:rsidP="00326AC2">
      <w:pPr>
        <w:pStyle w:val="Heading3"/>
      </w:pPr>
      <w:bookmarkStart w:id="39" w:name="_Toc257278793"/>
      <w:r>
        <w:t>Data acquisition</w:t>
      </w:r>
      <w:bookmarkEnd w:id="39"/>
    </w:p>
    <w:p w14:paraId="41941BFF" w14:textId="77777777" w:rsidR="0013210F" w:rsidRPr="0013210F" w:rsidRDefault="0013210F" w:rsidP="0013210F"/>
    <w:p w14:paraId="1955D4C4" w14:textId="0CD03494" w:rsidR="00326AC2" w:rsidRPr="00326AC2" w:rsidRDefault="00326AC2" w:rsidP="00426D9F">
      <w:pPr>
        <w:spacing w:line="360" w:lineRule="auto"/>
        <w:ind w:firstLine="720"/>
        <w:rPr>
          <w:rFonts w:ascii="Times" w:hAnsi="Times"/>
        </w:rPr>
      </w:pPr>
      <w:r w:rsidRPr="00326AC2">
        <w:rPr>
          <w:rFonts w:ascii="Times" w:hAnsi="Times" w:cs="Sabon"/>
          <w:color w:val="000000"/>
        </w:rPr>
        <w:t xml:space="preserve">High-resolution full precursor ion scans were acquired at 60 000 resolution in the Orbitrap over 400–2000 </w:t>
      </w:r>
      <w:r w:rsidRPr="00326AC2">
        <w:rPr>
          <w:rFonts w:ascii="Times" w:hAnsi="Times" w:cs="Sabon"/>
          <w:i/>
          <w:iCs/>
          <w:color w:val="000000"/>
        </w:rPr>
        <w:t>m</w:t>
      </w:r>
      <w:r w:rsidRPr="00326AC2">
        <w:rPr>
          <w:rFonts w:ascii="Times" w:hAnsi="Times" w:cs="Sabon"/>
          <w:color w:val="000000"/>
        </w:rPr>
        <w:t>/</w:t>
      </w:r>
      <w:r w:rsidRPr="00326AC2">
        <w:rPr>
          <w:rFonts w:ascii="Times" w:hAnsi="Times" w:cs="Sabon"/>
          <w:i/>
          <w:iCs/>
          <w:color w:val="000000"/>
        </w:rPr>
        <w:t xml:space="preserve">z </w:t>
      </w:r>
      <w:r w:rsidRPr="00326AC2">
        <w:rPr>
          <w:rFonts w:ascii="Times" w:hAnsi="Times" w:cs="Sabon"/>
          <w:color w:val="000000"/>
        </w:rPr>
        <w:t>while six consecutive tandem mass spectra were acquired by colli</w:t>
      </w:r>
      <w:r w:rsidRPr="00326AC2">
        <w:rPr>
          <w:rFonts w:ascii="Times" w:hAnsi="Times" w:cs="Sabon"/>
          <w:color w:val="000000"/>
        </w:rPr>
        <w:softHyphen/>
        <w:t>sion-induced dissociation in the linear ion trap (LTQ). The data-dependent ion threshold was set at 5000 counts for MS/ MS, and the maximum allowed ion accumulation times were 400 ms for full scans and 100 ms for MS/MS measurements. The number of ions accumulated was set to 1E6 for Orbitrap scans and 1E4 for linear ion trap MS/MS scans. An angioten</w:t>
      </w:r>
      <w:r w:rsidRPr="00326AC2">
        <w:rPr>
          <w:rFonts w:ascii="Times" w:hAnsi="Times" w:cs="Sabon"/>
          <w:color w:val="000000"/>
        </w:rPr>
        <w:softHyphen/>
        <w:t>sin and neurotensin standard was run after every eight injec</w:t>
      </w:r>
      <w:r w:rsidRPr="00326AC2">
        <w:rPr>
          <w:rFonts w:ascii="Times" w:hAnsi="Times" w:cs="Sabon"/>
          <w:color w:val="000000"/>
        </w:rPr>
        <w:softHyphen/>
        <w:t>tions. Each sample was injected in triplicate in a novel randomized order.</w:t>
      </w:r>
    </w:p>
    <w:p w14:paraId="1AA08B17" w14:textId="7C9869FE" w:rsidR="00326AC2" w:rsidRDefault="00326AC2" w:rsidP="00326AC2">
      <w:pPr>
        <w:pStyle w:val="Heading3"/>
      </w:pPr>
      <w:bookmarkStart w:id="40" w:name="_Toc257278794"/>
      <w:r>
        <w:t>Protein identification and data analysis</w:t>
      </w:r>
      <w:bookmarkEnd w:id="40"/>
    </w:p>
    <w:p w14:paraId="6A02EFBC" w14:textId="77777777" w:rsidR="0013210F" w:rsidRPr="0013210F" w:rsidRDefault="0013210F" w:rsidP="0013210F"/>
    <w:p w14:paraId="3785DBDE" w14:textId="25509DE8" w:rsidR="00326AC2" w:rsidRP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Peptide sequence and corresponding protein identification for all mass spectra was carried out using SEQUEST (Eng </w:t>
      </w:r>
      <w:r w:rsidRPr="00326AC2">
        <w:rPr>
          <w:rFonts w:ascii="Times" w:hAnsi="Times" w:cs="Sabon"/>
          <w:i/>
          <w:iCs/>
          <w:color w:val="000000"/>
        </w:rPr>
        <w:t>et al.</w:t>
      </w:r>
      <w:r w:rsidRPr="00326AC2">
        <w:rPr>
          <w:rFonts w:ascii="Times" w:hAnsi="Times" w:cs="Sabon"/>
          <w:color w:val="000000"/>
        </w:rPr>
        <w:t xml:space="preserve">, 1994) and the </w:t>
      </w:r>
      <w:r w:rsidRPr="00326AC2">
        <w:rPr>
          <w:rFonts w:ascii="Times" w:hAnsi="Times" w:cs="Sabon"/>
          <w:i/>
          <w:iCs/>
          <w:color w:val="000000"/>
        </w:rPr>
        <w:t xml:space="preserve">C. gigas </w:t>
      </w:r>
      <w:r w:rsidRPr="00326AC2">
        <w:rPr>
          <w:rFonts w:ascii="Times" w:hAnsi="Times" w:cs="Sabon"/>
          <w:color w:val="000000"/>
        </w:rPr>
        <w:t xml:space="preserve">proteome version 9 (Zhang </w:t>
      </w:r>
      <w:r w:rsidRPr="00326AC2">
        <w:rPr>
          <w:rFonts w:ascii="Times" w:hAnsi="Times" w:cs="Sabon"/>
          <w:i/>
          <w:iCs/>
          <w:color w:val="000000"/>
        </w:rPr>
        <w:t>et al.</w:t>
      </w:r>
      <w:r w:rsidRPr="00326AC2">
        <w:rPr>
          <w:rFonts w:ascii="Times" w:hAnsi="Times" w:cs="Sabon"/>
          <w:color w:val="000000"/>
        </w:rPr>
        <w:t xml:space="preserve">, 2012, http://dx.doi.org/10.5524/100030). A DECOY database was created by reversing the </w:t>
      </w:r>
      <w:r w:rsidRPr="00326AC2">
        <w:rPr>
          <w:rFonts w:ascii="Times" w:hAnsi="Times" w:cs="Sabon"/>
          <w:i/>
          <w:iCs/>
          <w:color w:val="000000"/>
        </w:rPr>
        <w:t xml:space="preserve">C. gigas </w:t>
      </w:r>
      <w:r w:rsidRPr="00326AC2">
        <w:rPr>
          <w:rFonts w:ascii="Times" w:hAnsi="Times" w:cs="Sabon"/>
          <w:color w:val="000000"/>
        </w:rPr>
        <w:t xml:space="preserve">proteome and adding it to the forward database. This was completed in order to determine false positive matches of peptide spectra matching, and yielded a false discovery rate of ~0.6%. Search parameters included trypsin as the assigned enzyme and a precursor mass accuracy of ±3 Da. SEQUEST results were analysed using PeptideProphet and ProteinProphet in order to evaluate peptide matches statistically and assign protein probabilities (Nesvizhskii </w:t>
      </w:r>
      <w:r w:rsidRPr="00326AC2">
        <w:rPr>
          <w:rFonts w:ascii="Times" w:hAnsi="Times" w:cs="Sabon"/>
          <w:i/>
          <w:iCs/>
          <w:color w:val="000000"/>
        </w:rPr>
        <w:t>et al.</w:t>
      </w:r>
      <w:r w:rsidRPr="00326AC2">
        <w:rPr>
          <w:rFonts w:ascii="Times" w:hAnsi="Times" w:cs="Sabon"/>
          <w:color w:val="000000"/>
        </w:rPr>
        <w:t>, 2003). Only pro</w:t>
      </w:r>
      <w:r w:rsidRPr="00326AC2">
        <w:rPr>
          <w:rFonts w:ascii="Times" w:hAnsi="Times" w:cs="Sabon"/>
          <w:color w:val="000000"/>
        </w:rPr>
        <w:softHyphen/>
        <w:t>teins with a probability of ≥0.9 (estimated false discovery rate of 0.6%), a minimum of two unique peptide hits within a single replicate, and a minimum of four total tandem mass spectral assignments in the combined technical and biologi</w:t>
      </w:r>
      <w:r w:rsidRPr="00326AC2">
        <w:rPr>
          <w:rFonts w:ascii="Times" w:hAnsi="Times" w:cs="Sabon"/>
          <w:color w:val="000000"/>
        </w:rPr>
        <w:softHyphen/>
        <w:t>cal replicates were used in further characterizations described below.</w:t>
      </w:r>
    </w:p>
    <w:p w14:paraId="50703FFF" w14:textId="4EA702D1"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 xml:space="preserve">In order to annotate corresponding proteins, the </w:t>
      </w:r>
      <w:r w:rsidRPr="00326AC2">
        <w:rPr>
          <w:rFonts w:ascii="Times" w:hAnsi="Times" w:cs="Sabon"/>
          <w:i/>
          <w:iCs/>
          <w:color w:val="000000"/>
        </w:rPr>
        <w:t xml:space="preserve">C. gigas </w:t>
      </w:r>
      <w:r w:rsidRPr="00326AC2">
        <w:rPr>
          <w:rFonts w:ascii="Times" w:hAnsi="Times" w:cs="Sabon"/>
          <w:color w:val="000000"/>
        </w:rPr>
        <w:t xml:space="preserve">proteome (version 9) was compared with the UniProtKB/ Swiss-Prot database (www.uniprot.org) using Blastp with an e-value limit </w:t>
      </w:r>
      <w:r w:rsidR="00E57114">
        <w:rPr>
          <w:rFonts w:ascii="Times" w:hAnsi="Times" w:cs="Sabon"/>
          <w:color w:val="000000"/>
        </w:rPr>
        <w:t>of 1E</w:t>
      </w:r>
      <w:r w:rsidRPr="00326AC2">
        <w:rPr>
          <w:rStyle w:val="A10"/>
          <w:rFonts w:ascii="Times" w:hAnsi="Times"/>
          <w:sz w:val="24"/>
          <w:szCs w:val="24"/>
        </w:rPr>
        <w:t>-10</w:t>
      </w:r>
      <w:r w:rsidRPr="00326AC2">
        <w:rPr>
          <w:rFonts w:ascii="Times" w:hAnsi="Times" w:cs="Sabon"/>
          <w:color w:val="000000"/>
        </w:rPr>
        <w:t>. Associated gene ontology (GO) terms were used to classify sequences based on biological process, as well as to categorize genes into parent categories (GO Slim). Enrichment analysis was used to identify over-represented biological processes in the gill proteome com</w:t>
      </w:r>
      <w:r w:rsidRPr="00326AC2">
        <w:rPr>
          <w:rFonts w:ascii="Times" w:hAnsi="Times" w:cs="Sabon"/>
          <w:color w:val="000000"/>
        </w:rPr>
        <w:softHyphen/>
        <w:t xml:space="preserve">pared with the entire proteome [Database for Annotation, Visualization and Integrated Discovery (DAVID), version 6.7; Huang </w:t>
      </w:r>
      <w:r w:rsidRPr="00326AC2">
        <w:rPr>
          <w:rFonts w:ascii="Times" w:hAnsi="Times" w:cs="Sabon"/>
          <w:i/>
          <w:iCs/>
          <w:color w:val="000000"/>
        </w:rPr>
        <w:t>et al.</w:t>
      </w:r>
      <w:r w:rsidRPr="00326AC2">
        <w:rPr>
          <w:rFonts w:ascii="Times" w:hAnsi="Times" w:cs="Sabon"/>
          <w:color w:val="000000"/>
        </w:rPr>
        <w:t xml:space="preserve">, 2009a, 2009b, http://david.abcc.ncifcrf. gov/]. The results of the enrichment analysis were visualized in REViGO (Reduce and Visualize Gene Ontology; Supek </w:t>
      </w:r>
      <w:r w:rsidRPr="00326AC2">
        <w:rPr>
          <w:rFonts w:ascii="Times" w:hAnsi="Times" w:cs="Sabon"/>
          <w:i/>
          <w:iCs/>
          <w:color w:val="000000"/>
        </w:rPr>
        <w:t>et al.</w:t>
      </w:r>
      <w:r w:rsidRPr="00326AC2">
        <w:rPr>
          <w:rFonts w:ascii="Times" w:hAnsi="Times" w:cs="Sabon"/>
          <w:color w:val="000000"/>
        </w:rPr>
        <w:t xml:space="preserve">, 2011, http://revigo.irb.hr/). Normalized spectral abundance factor (NSAF; Florens </w:t>
      </w:r>
      <w:r w:rsidRPr="00326AC2">
        <w:rPr>
          <w:rFonts w:ascii="Times" w:hAnsi="Times" w:cs="Sabon"/>
          <w:i/>
          <w:iCs/>
          <w:color w:val="000000"/>
        </w:rPr>
        <w:t>et al.</w:t>
      </w:r>
      <w:r w:rsidRPr="00326AC2">
        <w:rPr>
          <w:rFonts w:ascii="Times" w:hAnsi="Times" w:cs="Sabon"/>
          <w:color w:val="000000"/>
        </w:rPr>
        <w:t>, 2006) was used to calculate expression for each protein in each oyster. Technical replicates were pooled by taking the sum of total independent tandem mass spectra for each protein (SpC). For each protein, SpC was divided by protein length (</w:t>
      </w:r>
      <w:r w:rsidRPr="00326AC2">
        <w:rPr>
          <w:rFonts w:ascii="Times" w:hAnsi="Times" w:cs="Sabon"/>
          <w:i/>
          <w:iCs/>
          <w:color w:val="000000"/>
        </w:rPr>
        <w:t>L</w:t>
      </w:r>
      <w:r w:rsidRPr="00326AC2">
        <w:rPr>
          <w:rFonts w:ascii="Times" w:hAnsi="Times" w:cs="Sabon"/>
          <w:color w:val="000000"/>
        </w:rPr>
        <w:t>). The NSAF is calculated from SpC/</w:t>
      </w:r>
      <w:r w:rsidRPr="00326AC2">
        <w:rPr>
          <w:rFonts w:ascii="Times" w:hAnsi="Times" w:cs="Sabon"/>
          <w:i/>
          <w:iCs/>
          <w:color w:val="000000"/>
        </w:rPr>
        <w:t xml:space="preserve">L </w:t>
      </w:r>
      <w:r w:rsidRPr="00326AC2">
        <w:rPr>
          <w:rFonts w:ascii="Times" w:hAnsi="Times" w:cs="Sabon"/>
          <w:color w:val="000000"/>
        </w:rPr>
        <w:t>divided by the sum of all SpC/</w:t>
      </w:r>
      <w:r w:rsidRPr="00326AC2">
        <w:rPr>
          <w:rFonts w:ascii="Times" w:hAnsi="Times" w:cs="Sabon"/>
          <w:i/>
          <w:iCs/>
          <w:color w:val="000000"/>
        </w:rPr>
        <w:t xml:space="preserve">L </w:t>
      </w:r>
      <w:r w:rsidRPr="00326AC2">
        <w:rPr>
          <w:rFonts w:ascii="Times" w:hAnsi="Times" w:cs="Sabon"/>
          <w:color w:val="000000"/>
        </w:rPr>
        <w:t>values for the proteins for a particular oyster. Comparisons of proteins identified across biological sam</w:t>
      </w:r>
      <w:r w:rsidRPr="00326AC2">
        <w:rPr>
          <w:rFonts w:ascii="Times" w:hAnsi="Times" w:cs="Sabon"/>
          <w:color w:val="000000"/>
        </w:rPr>
        <w:softHyphen/>
        <w:t xml:space="preserve">ples were visualized using Venny (Oliveros, 2007). </w:t>
      </w:r>
    </w:p>
    <w:p w14:paraId="7A4F03C2" w14:textId="7D54012F" w:rsidR="00326AC2" w:rsidRPr="00326AC2" w:rsidRDefault="00326AC2" w:rsidP="00426D9F">
      <w:pPr>
        <w:spacing w:line="360" w:lineRule="auto"/>
        <w:ind w:firstLine="720"/>
        <w:rPr>
          <w:rFonts w:ascii="Times" w:hAnsi="Times"/>
        </w:rPr>
      </w:pPr>
      <w:r w:rsidRPr="00326AC2">
        <w:rPr>
          <w:rFonts w:ascii="Times" w:hAnsi="Times" w:cs="Sabon"/>
          <w:color w:val="000000"/>
        </w:rPr>
        <w:t xml:space="preserve">The minimum number of peptides needed to be sequenced to optimize unique protein identifications was determined using an </w:t>
      </w:r>
      <w:r w:rsidRPr="00326AC2">
        <w:rPr>
          <w:rFonts w:ascii="Times" w:hAnsi="Times" w:cs="Sabon"/>
          <w:i/>
          <w:iCs/>
          <w:color w:val="000000"/>
        </w:rPr>
        <w:t xml:space="preserve">in silico </w:t>
      </w:r>
      <w:r w:rsidRPr="00326AC2">
        <w:rPr>
          <w:rFonts w:ascii="Times" w:hAnsi="Times" w:cs="Sabon"/>
          <w:color w:val="000000"/>
        </w:rPr>
        <w:t>approach. A list was constructed of all sequenced peptides and their matching protein identification. Redundancies were maintained in this list, so that if a certain peptide was sequenced multiple times it was included multiple times in the list. Randomized subsets of this list were generated using the sample function in R (R Development Core Team, 2009). The number of hypothetically sequenced peptides in these lists ranged from 500 to 70 000. A plot was generated to visualize the relationship between each sample size of randomly chosen peptides and the number of unique proteins identified.</w:t>
      </w:r>
    </w:p>
    <w:p w14:paraId="26FE368B" w14:textId="77777777" w:rsidR="00C02D9B" w:rsidRDefault="00C02D9B" w:rsidP="00C02D9B">
      <w:pPr>
        <w:pStyle w:val="Heading2"/>
      </w:pPr>
      <w:bookmarkStart w:id="41" w:name="_Toc257278795"/>
      <w:r>
        <w:t>Results</w:t>
      </w:r>
      <w:bookmarkEnd w:id="41"/>
    </w:p>
    <w:p w14:paraId="0DB3E0EF" w14:textId="77777777" w:rsidR="0013210F" w:rsidRPr="0013210F" w:rsidRDefault="0013210F" w:rsidP="0013210F"/>
    <w:p w14:paraId="25F115C1" w14:textId="500EB58D" w:rsidR="002214CA" w:rsidRPr="00326AC2" w:rsidRDefault="00326AC2" w:rsidP="008014F1">
      <w:pPr>
        <w:spacing w:line="360" w:lineRule="auto"/>
        <w:ind w:firstLine="720"/>
        <w:rPr>
          <w:rFonts w:ascii="Times" w:hAnsi="Times" w:cs="Sabon"/>
          <w:color w:val="000000"/>
        </w:rPr>
      </w:pPr>
      <w:r w:rsidRPr="00326AC2">
        <w:rPr>
          <w:rFonts w:ascii="Times" w:hAnsi="Times" w:cs="Sabon"/>
          <w:color w:val="000000"/>
        </w:rPr>
        <w:t>A combined total of 175 818 tandem MS spectra were gener</w:t>
      </w:r>
      <w:r w:rsidRPr="00326AC2">
        <w:rPr>
          <w:rFonts w:ascii="Times" w:hAnsi="Times" w:cs="Sabon"/>
          <w:color w:val="000000"/>
        </w:rPr>
        <w:softHyphen/>
        <w:t xml:space="preserve">ated across all four biological and three technical replicates using the Orbitrap mass spectrometer (Table </w:t>
      </w:r>
      <w:r w:rsidR="005E6037">
        <w:rPr>
          <w:rFonts w:ascii="Times" w:hAnsi="Times" w:cs="Sabon"/>
          <w:color w:val="000000"/>
        </w:rPr>
        <w:t>II.</w:t>
      </w:r>
      <w:r w:rsidRPr="00326AC2">
        <w:rPr>
          <w:rFonts w:ascii="Times" w:hAnsi="Times" w:cs="Sabon"/>
          <w:color w:val="000000"/>
        </w:rPr>
        <w:t xml:space="preserve">1). Expression values were comparable between biological replicates, with </w:t>
      </w:r>
      <w:r w:rsidRPr="00326AC2">
        <w:rPr>
          <w:rFonts w:ascii="Times" w:hAnsi="Times" w:cs="Sabon"/>
          <w:i/>
          <w:iCs/>
          <w:color w:val="000000"/>
        </w:rPr>
        <w:t>r</w:t>
      </w:r>
      <w:r w:rsidRPr="005E6037">
        <w:rPr>
          <w:rStyle w:val="A10"/>
          <w:rFonts w:ascii="Times" w:hAnsi="Times"/>
          <w:sz w:val="24"/>
          <w:szCs w:val="24"/>
          <w:vertAlign w:val="superscript"/>
        </w:rPr>
        <w:t>2</w:t>
      </w:r>
      <w:r w:rsidRPr="00326AC2">
        <w:rPr>
          <w:rStyle w:val="A10"/>
          <w:rFonts w:ascii="Times" w:hAnsi="Times"/>
          <w:sz w:val="24"/>
          <w:szCs w:val="24"/>
        </w:rPr>
        <w:t xml:space="preserve"> </w:t>
      </w:r>
      <w:r w:rsidRPr="00326AC2">
        <w:rPr>
          <w:rFonts w:ascii="Times" w:hAnsi="Times" w:cs="Sabon"/>
          <w:color w:val="000000"/>
        </w:rPr>
        <w:t xml:space="preserve">ranging from 0.800 to 0.889 (Supplementary Data </w:t>
      </w:r>
      <w:r w:rsidR="005E6037">
        <w:rPr>
          <w:rFonts w:ascii="Times" w:hAnsi="Times" w:cs="Sabon"/>
          <w:color w:val="000000"/>
        </w:rPr>
        <w:t>II.</w:t>
      </w:r>
      <w:r w:rsidRPr="00326AC2">
        <w:rPr>
          <w:rFonts w:ascii="Times" w:hAnsi="Times" w:cs="Sabon"/>
          <w:color w:val="000000"/>
        </w:rPr>
        <w:t xml:space="preserve">1). A total of 54 521 unique peptides contributed to the identification of 2850 proteins, with a probability score threshold of 0.9 (Supplementary Data </w:t>
      </w:r>
      <w:r w:rsidR="005E6037">
        <w:rPr>
          <w:rFonts w:ascii="Times" w:hAnsi="Times" w:cs="Sabon"/>
          <w:color w:val="000000"/>
        </w:rPr>
        <w:t>II.</w:t>
      </w:r>
      <w:r w:rsidRPr="00326AC2">
        <w:rPr>
          <w:rFonts w:ascii="Times" w:hAnsi="Times" w:cs="Sabon"/>
          <w:color w:val="000000"/>
        </w:rPr>
        <w:t>2). Of these proteins, 1043 had at least two unique peptide hits and four tandem mass spectra in the combined replicates. The mean coverage of proteins by sequenced amino acids was 13.3%. Protein identifications for each injection, including protein probability scores, num</w:t>
      </w:r>
      <w:r w:rsidRPr="00326AC2">
        <w:rPr>
          <w:rFonts w:ascii="Times" w:hAnsi="Times" w:cs="Sabon"/>
          <w:color w:val="000000"/>
        </w:rPr>
        <w:softHyphen/>
        <w:t xml:space="preserve">ber of total and unique spectra, and peptide sequences, are provided in Supplementary Data </w:t>
      </w:r>
      <w:r w:rsidR="005E6037">
        <w:rPr>
          <w:rFonts w:ascii="Times" w:hAnsi="Times" w:cs="Sabon"/>
          <w:color w:val="000000"/>
        </w:rPr>
        <w:t>II.</w:t>
      </w:r>
      <w:r w:rsidRPr="00326AC2">
        <w:rPr>
          <w:rFonts w:ascii="Times" w:hAnsi="Times" w:cs="Sabon"/>
          <w:color w:val="000000"/>
        </w:rPr>
        <w:t xml:space="preserve">3. The NSAF values for each protein are provided in Supplementary Data </w:t>
      </w:r>
      <w:r w:rsidR="005E6037">
        <w:rPr>
          <w:rFonts w:ascii="Times" w:hAnsi="Times" w:cs="Sabon"/>
          <w:color w:val="000000"/>
        </w:rPr>
        <w:t>II.</w:t>
      </w:r>
      <w:r w:rsidR="008014F1">
        <w:rPr>
          <w:rFonts w:ascii="Times" w:hAnsi="Times" w:cs="Sabon"/>
          <w:color w:val="000000"/>
        </w:rPr>
        <w:t>4.</w:t>
      </w:r>
    </w:p>
    <w:p w14:paraId="57B122CB" w14:textId="60203A44" w:rsid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For all biological samples, the number of proteins identi</w:t>
      </w:r>
      <w:r w:rsidRPr="00326AC2">
        <w:rPr>
          <w:rFonts w:ascii="Times" w:hAnsi="Times" w:cs="Sabon"/>
          <w:color w:val="000000"/>
        </w:rPr>
        <w:softHyphen/>
        <w:t>fied in each technical replicate was consistent with minimal standard deviation (1.2–3.5%). In each biological replicate, the proteins were identified from between 43 275 and 44 720 sequenced peptides (standard deviation as a percentage of the mean ranged from 4.8 to 7.4%). For each oyster, 54–55% of the identified proteins were present in all three technical rep</w:t>
      </w:r>
      <w:r w:rsidRPr="00326AC2">
        <w:rPr>
          <w:rFonts w:ascii="Times" w:hAnsi="Times" w:cs="Sabon"/>
          <w:color w:val="000000"/>
        </w:rPr>
        <w:softHyphen/>
        <w:t>licates. Using spectral counts as a proxy for relative expres</w:t>
      </w:r>
      <w:r w:rsidRPr="00326AC2">
        <w:rPr>
          <w:rFonts w:ascii="Times" w:hAnsi="Times" w:cs="Sabon"/>
          <w:color w:val="000000"/>
        </w:rPr>
        <w:softHyphen/>
        <w:t xml:space="preserve">sion, protein expression levels were consistent across technical replicates (Fig. </w:t>
      </w:r>
      <w:r w:rsidR="005E6037">
        <w:rPr>
          <w:rFonts w:ascii="Times" w:hAnsi="Times" w:cs="Sabon"/>
          <w:color w:val="000000"/>
        </w:rPr>
        <w:t>II.</w:t>
      </w:r>
      <w:r w:rsidRPr="00326AC2">
        <w:rPr>
          <w:rFonts w:ascii="Times" w:hAnsi="Times" w:cs="Sabon"/>
          <w:color w:val="000000"/>
        </w:rPr>
        <w:t xml:space="preserve">1). </w:t>
      </w:r>
    </w:p>
    <w:p w14:paraId="15CD75BB" w14:textId="6BD0677D" w:rsidR="00326AC2" w:rsidRDefault="00326AC2" w:rsidP="008014F1">
      <w:pPr>
        <w:pStyle w:val="Pa16"/>
        <w:spacing w:before="60" w:after="60" w:line="360" w:lineRule="auto"/>
        <w:ind w:firstLine="720"/>
        <w:jc w:val="both"/>
        <w:rPr>
          <w:rFonts w:ascii="Times" w:hAnsi="Times" w:cs="Sabon"/>
          <w:color w:val="000000"/>
        </w:rPr>
      </w:pPr>
      <w:r w:rsidRPr="00326AC2">
        <w:rPr>
          <w:rFonts w:ascii="Times" w:hAnsi="Times" w:cs="Sabon"/>
          <w:color w:val="000000"/>
        </w:rPr>
        <w:t xml:space="preserve">The number of proteins identified in each oyster (after pooling technical replicates; see Methods) was 923, 959, 883, and 875 (Table </w:t>
      </w:r>
      <w:r w:rsidR="005E6037">
        <w:rPr>
          <w:rFonts w:ascii="Times" w:hAnsi="Times" w:cs="Sabon"/>
          <w:color w:val="000000"/>
        </w:rPr>
        <w:t>II.</w:t>
      </w:r>
      <w:r w:rsidRPr="00326AC2">
        <w:rPr>
          <w:rFonts w:ascii="Times" w:hAnsi="Times" w:cs="Sabon"/>
          <w:color w:val="000000"/>
        </w:rPr>
        <w:t>1). Most proteins (</w:t>
      </w:r>
      <w:r w:rsidRPr="00326AC2">
        <w:rPr>
          <w:rFonts w:ascii="Times" w:hAnsi="Times" w:cs="Sabon"/>
          <w:i/>
          <w:iCs/>
          <w:color w:val="000000"/>
        </w:rPr>
        <w:t xml:space="preserve">n </w:t>
      </w:r>
      <w:r w:rsidRPr="00326AC2">
        <w:rPr>
          <w:rFonts w:ascii="Times" w:hAnsi="Times" w:cs="Sabon"/>
          <w:color w:val="000000"/>
        </w:rPr>
        <w:t>= 703) were identi</w:t>
      </w:r>
      <w:r w:rsidRPr="00326AC2">
        <w:rPr>
          <w:rFonts w:ascii="Times" w:hAnsi="Times" w:cs="Sabon"/>
          <w:color w:val="000000"/>
        </w:rPr>
        <w:softHyphen/>
        <w:t xml:space="preserve">fied across all biological samples (Fig. </w:t>
      </w:r>
      <w:r w:rsidR="005E6037">
        <w:rPr>
          <w:rFonts w:ascii="Times" w:hAnsi="Times" w:cs="Sabon"/>
          <w:color w:val="000000"/>
        </w:rPr>
        <w:t>II.</w:t>
      </w:r>
      <w:r w:rsidRPr="00326AC2">
        <w:rPr>
          <w:rFonts w:ascii="Times" w:hAnsi="Times" w:cs="Sabon"/>
          <w:color w:val="000000"/>
        </w:rPr>
        <w:t xml:space="preserve">2). </w:t>
      </w:r>
    </w:p>
    <w:p w14:paraId="3C99C758" w14:textId="77777777" w:rsidR="008014F1" w:rsidRDefault="00326AC2" w:rsidP="008014F1">
      <w:pPr>
        <w:pStyle w:val="Pa16"/>
        <w:spacing w:before="60" w:after="60" w:line="360" w:lineRule="auto"/>
        <w:ind w:firstLine="720"/>
        <w:jc w:val="both"/>
        <w:rPr>
          <w:rFonts w:ascii="Times" w:hAnsi="Times" w:cs="Sabon"/>
          <w:color w:val="000000"/>
        </w:rPr>
      </w:pPr>
      <w:r w:rsidRPr="00326AC2">
        <w:rPr>
          <w:rFonts w:ascii="Times" w:hAnsi="Times" w:cs="Sabon"/>
          <w:color w:val="000000"/>
        </w:rPr>
        <w:t xml:space="preserve">In order to evaluate general protein expression and assess sample variability, the 10 most highly expressed proteins in each oyster were identified. There was not complete overlap in this group of proteins among the four oysters, so that a total of 12 proteins represent the most highly expressed for the entire dataset (Table </w:t>
      </w:r>
      <w:r w:rsidR="005E6037">
        <w:rPr>
          <w:rFonts w:ascii="Times" w:hAnsi="Times" w:cs="Sabon"/>
          <w:color w:val="000000"/>
        </w:rPr>
        <w:t>II.</w:t>
      </w:r>
      <w:r w:rsidRPr="00326AC2">
        <w:rPr>
          <w:rFonts w:ascii="Times" w:hAnsi="Times" w:cs="Sabon"/>
          <w:color w:val="000000"/>
        </w:rPr>
        <w:t>2). The 12 most abundant proteins across the four oysters analysed represent core cell structure and function, such as nucleosome assembly, cytoskeleton structure, muscle components, turnover of intracellular pro</w:t>
      </w:r>
      <w:r w:rsidRPr="00326AC2">
        <w:rPr>
          <w:rFonts w:ascii="Times" w:hAnsi="Times" w:cs="Sabon"/>
          <w:color w:val="000000"/>
        </w:rPr>
        <w:softHyphen/>
        <w:t xml:space="preserve">teins, and protection against oxidative stress. Eight of these 12 proteins (arginine kinase, actin, histone H2A, histone H2B.3, histone H4, peptidyl-prolyl </w:t>
      </w:r>
      <w:r w:rsidRPr="00326AC2">
        <w:rPr>
          <w:rFonts w:ascii="Times" w:hAnsi="Times" w:cs="Sabon"/>
          <w:i/>
          <w:iCs/>
          <w:color w:val="000000"/>
        </w:rPr>
        <w:t xml:space="preserve">cis-trans </w:t>
      </w:r>
      <w:r w:rsidRPr="00326AC2">
        <w:rPr>
          <w:rFonts w:ascii="Times" w:hAnsi="Times" w:cs="Sabon"/>
          <w:color w:val="000000"/>
        </w:rPr>
        <w:t>isomerase, extracellular superoxide dismutase, and cytosol aminopepti</w:t>
      </w:r>
      <w:r w:rsidRPr="00326AC2">
        <w:rPr>
          <w:rFonts w:ascii="Times" w:hAnsi="Times" w:cs="Sabon"/>
          <w:color w:val="000000"/>
        </w:rPr>
        <w:softHyphen/>
        <w:t xml:space="preserve">dase) were identified in the top 10 most expressed proteins in all four oysters. </w:t>
      </w:r>
    </w:p>
    <w:p w14:paraId="04D44D39" w14:textId="1F09E08F" w:rsidR="0070002F" w:rsidRPr="008014F1" w:rsidRDefault="00326AC2" w:rsidP="008014F1">
      <w:pPr>
        <w:pStyle w:val="Pa16"/>
        <w:spacing w:before="60" w:after="60" w:line="360" w:lineRule="auto"/>
        <w:ind w:firstLine="720"/>
        <w:jc w:val="both"/>
        <w:rPr>
          <w:rFonts w:ascii="Times" w:hAnsi="Times" w:cs="Sabon"/>
          <w:color w:val="000000"/>
        </w:rPr>
      </w:pPr>
      <w:r w:rsidRPr="00326AC2">
        <w:rPr>
          <w:rFonts w:ascii="Times" w:hAnsi="Times" w:cs="Sabon"/>
          <w:color w:val="000000"/>
        </w:rPr>
        <w:t>Of the 1043 proteins expressed across all samples, 1033 were annotated using the UnitProt-KB/SwissProt database. Of the annotated proteins, 888 were associated with Gene Ontology classifications. A majority of proteins were associ</w:t>
      </w:r>
      <w:r w:rsidRPr="00326AC2">
        <w:rPr>
          <w:rFonts w:ascii="Times" w:hAnsi="Times" w:cs="Sabon"/>
          <w:color w:val="000000"/>
        </w:rPr>
        <w:softHyphen/>
        <w:t>ated with the biological process of protein metabolism (</w:t>
      </w:r>
      <w:r w:rsidRPr="00326AC2">
        <w:rPr>
          <w:rFonts w:ascii="Times" w:hAnsi="Times" w:cs="Sabon"/>
          <w:i/>
          <w:iCs/>
          <w:color w:val="000000"/>
        </w:rPr>
        <w:t xml:space="preserve">n </w:t>
      </w:r>
      <w:r w:rsidRPr="00326AC2">
        <w:rPr>
          <w:rFonts w:ascii="Times" w:hAnsi="Times" w:cs="Sabon"/>
          <w:color w:val="000000"/>
        </w:rPr>
        <w:t>= 273), followed by cell organization and biogenesis (</w:t>
      </w:r>
      <w:r w:rsidRPr="00326AC2">
        <w:rPr>
          <w:rFonts w:ascii="Times" w:hAnsi="Times" w:cs="Sabon"/>
          <w:i/>
          <w:iCs/>
          <w:color w:val="000000"/>
        </w:rPr>
        <w:t xml:space="preserve">n </w:t>
      </w:r>
      <w:r w:rsidRPr="00326AC2">
        <w:rPr>
          <w:rFonts w:ascii="Times" w:hAnsi="Times" w:cs="Sabon"/>
          <w:color w:val="000000"/>
        </w:rPr>
        <w:t>= 201), and transport (</w:t>
      </w:r>
      <w:r w:rsidRPr="00326AC2">
        <w:rPr>
          <w:rFonts w:ascii="Times" w:hAnsi="Times" w:cs="Sabon"/>
          <w:i/>
          <w:iCs/>
          <w:color w:val="000000"/>
        </w:rPr>
        <w:t xml:space="preserve">n </w:t>
      </w:r>
      <w:r w:rsidRPr="00326AC2">
        <w:rPr>
          <w:rFonts w:ascii="Times" w:hAnsi="Times" w:cs="Sabon"/>
          <w:color w:val="000000"/>
        </w:rPr>
        <w:t xml:space="preserve">= 165) (Fig. </w:t>
      </w:r>
      <w:r w:rsidR="005E6037">
        <w:rPr>
          <w:rFonts w:ascii="Times" w:hAnsi="Times" w:cs="Sabon"/>
          <w:color w:val="000000"/>
        </w:rPr>
        <w:t>II.</w:t>
      </w:r>
      <w:r w:rsidRPr="00326AC2">
        <w:rPr>
          <w:rFonts w:ascii="Times" w:hAnsi="Times" w:cs="Sabon"/>
          <w:color w:val="000000"/>
        </w:rPr>
        <w:t xml:space="preserve">3). </w:t>
      </w:r>
    </w:p>
    <w:p w14:paraId="005489B8" w14:textId="420808D1" w:rsidR="00326AC2" w:rsidRPr="00326AC2" w:rsidRDefault="00326AC2" w:rsidP="00426D9F">
      <w:pPr>
        <w:spacing w:line="360" w:lineRule="auto"/>
        <w:ind w:firstLine="720"/>
        <w:rPr>
          <w:rFonts w:ascii="Times" w:hAnsi="Times" w:cs="Sabon"/>
          <w:color w:val="000000"/>
        </w:rPr>
      </w:pPr>
      <w:r w:rsidRPr="00326AC2">
        <w:rPr>
          <w:rFonts w:ascii="Times" w:hAnsi="Times" w:cs="Sabon"/>
          <w:color w:val="000000"/>
        </w:rPr>
        <w:t>Enrichment analysis was carried out to determine which biological processes were over-represented in gill tissue in comparison to the entire proteome. Several of the functional groups identified were associated with the abundant proteins involved in metabolism and transport, as well as structural processes (i.e. actin-filament and microtubule) and oxida</w:t>
      </w:r>
      <w:r w:rsidRPr="00326AC2">
        <w:rPr>
          <w:rFonts w:ascii="Times" w:hAnsi="Times" w:cs="Sabon"/>
          <w:color w:val="000000"/>
        </w:rPr>
        <w:softHyphen/>
        <w:t>tion–reduction. The most significantly enriched biological process was generation of precursor metabolites and energy. Protein IDs (accession numbers starting with “CGI”) corre</w:t>
      </w:r>
      <w:r w:rsidRPr="00326AC2">
        <w:rPr>
          <w:rFonts w:ascii="Times" w:hAnsi="Times" w:cs="Sabon"/>
          <w:color w:val="000000"/>
        </w:rPr>
        <w:softHyphen/>
        <w:t>sponding to the proteins that contributed to GO term enrich</w:t>
      </w:r>
      <w:r w:rsidRPr="00326AC2">
        <w:rPr>
          <w:rFonts w:ascii="Times" w:hAnsi="Times" w:cs="Sabon"/>
          <w:color w:val="000000"/>
        </w:rPr>
        <w:softHyphen/>
        <w:t xml:space="preserve">ment are listed in Supplementary Data </w:t>
      </w:r>
      <w:r w:rsidR="005E6037">
        <w:rPr>
          <w:rFonts w:ascii="Times" w:hAnsi="Times" w:cs="Sabon"/>
          <w:color w:val="000000"/>
        </w:rPr>
        <w:t>II.</w:t>
      </w:r>
      <w:r w:rsidRPr="00326AC2">
        <w:rPr>
          <w:rFonts w:ascii="Times" w:hAnsi="Times" w:cs="Sabon"/>
          <w:color w:val="000000"/>
        </w:rPr>
        <w:t>5.</w:t>
      </w:r>
    </w:p>
    <w:p w14:paraId="13D0B484" w14:textId="6EA9E8BC" w:rsidR="0070002F" w:rsidRPr="008014F1" w:rsidRDefault="00326AC2" w:rsidP="008014F1">
      <w:pPr>
        <w:spacing w:line="360" w:lineRule="auto"/>
        <w:ind w:firstLine="720"/>
        <w:rPr>
          <w:rFonts w:ascii="Times" w:hAnsi="Times" w:cs="Sabon"/>
          <w:color w:val="000000"/>
        </w:rPr>
      </w:pPr>
      <w:r w:rsidRPr="00326AC2">
        <w:rPr>
          <w:rFonts w:ascii="Times" w:hAnsi="Times" w:cs="Sabon"/>
          <w:color w:val="000000"/>
        </w:rPr>
        <w:t xml:space="preserve">The number of unique proteins identified with different numbers of sequenced peptides created an exponential curve (Fig. </w:t>
      </w:r>
      <w:r w:rsidR="005E6037">
        <w:rPr>
          <w:rFonts w:ascii="Times" w:hAnsi="Times" w:cs="Sabon"/>
          <w:color w:val="000000"/>
        </w:rPr>
        <w:t>II.</w:t>
      </w:r>
      <w:r w:rsidRPr="00326AC2">
        <w:rPr>
          <w:rFonts w:ascii="Times" w:hAnsi="Times" w:cs="Sabon"/>
          <w:color w:val="000000"/>
        </w:rPr>
        <w:t>4). The plateau began around 30 000–40 000 sequenced peptides, with a total of 2400–2516 unique peptides identi</w:t>
      </w:r>
      <w:r w:rsidRPr="00326AC2">
        <w:rPr>
          <w:rFonts w:ascii="Times" w:hAnsi="Times" w:cs="Sabon"/>
          <w:color w:val="000000"/>
        </w:rPr>
        <w:softHyphen/>
        <w:t>fied. New unique peptides were still identified in larger sam</w:t>
      </w:r>
      <w:r w:rsidRPr="00326AC2">
        <w:rPr>
          <w:rFonts w:ascii="Times" w:hAnsi="Times" w:cs="Sabon"/>
          <w:color w:val="000000"/>
        </w:rPr>
        <w:softHyphen/>
        <w:t>ple sizes of peptides, but the return per sequenced peptide diminished.</w:t>
      </w:r>
    </w:p>
    <w:p w14:paraId="017F4B4A" w14:textId="77777777" w:rsidR="00C02D9B" w:rsidRDefault="00C02D9B" w:rsidP="00C02D9B">
      <w:pPr>
        <w:pStyle w:val="Heading2"/>
      </w:pPr>
      <w:bookmarkStart w:id="42" w:name="_Toc257278796"/>
      <w:r>
        <w:t>Discussion</w:t>
      </w:r>
      <w:bookmarkEnd w:id="42"/>
    </w:p>
    <w:p w14:paraId="0F2D6660" w14:textId="77777777" w:rsidR="00C85C10" w:rsidRPr="00C85C10" w:rsidRDefault="00C85C10" w:rsidP="00C85C10"/>
    <w:p w14:paraId="17BBAFE0" w14:textId="4F9F29CD" w:rsidR="00326AC2" w:rsidRPr="00173404" w:rsidRDefault="00326AC2" w:rsidP="00426D9F">
      <w:pPr>
        <w:pStyle w:val="Pa13"/>
        <w:spacing w:before="60" w:after="60" w:line="360" w:lineRule="auto"/>
        <w:ind w:firstLine="720"/>
        <w:jc w:val="both"/>
        <w:rPr>
          <w:rFonts w:ascii="Times" w:hAnsi="Times" w:cs="Sabon"/>
          <w:color w:val="000000"/>
        </w:rPr>
      </w:pPr>
      <w:r w:rsidRPr="00173404">
        <w:rPr>
          <w:rFonts w:ascii="Times" w:hAnsi="Times" w:cs="Sabon"/>
          <w:color w:val="000000"/>
        </w:rPr>
        <w:t>Technical and analytical challenges have resulted in limited focus on quantitative proteomics approaches in environmen</w:t>
      </w:r>
      <w:r w:rsidRPr="00173404">
        <w:rPr>
          <w:rFonts w:ascii="Times" w:hAnsi="Times" w:cs="Sabon"/>
          <w:color w:val="000000"/>
        </w:rPr>
        <w:softHyphen/>
        <w:t xml:space="preserve">tal physiology. Given the recent technological advances in the proteomics field (Yates </w:t>
      </w:r>
      <w:r w:rsidRPr="00173404">
        <w:rPr>
          <w:rFonts w:ascii="Times" w:hAnsi="Times" w:cs="Sabon"/>
          <w:i/>
          <w:iCs/>
          <w:color w:val="000000"/>
        </w:rPr>
        <w:t>et al.</w:t>
      </w:r>
      <w:r w:rsidRPr="00173404">
        <w:rPr>
          <w:rFonts w:ascii="Times" w:hAnsi="Times" w:cs="Sabon"/>
          <w:color w:val="000000"/>
        </w:rPr>
        <w:t xml:space="preserve">, 2009) and release of the Pacific oyster genome (Zhang </w:t>
      </w:r>
      <w:r w:rsidRPr="00173404">
        <w:rPr>
          <w:rFonts w:ascii="Times" w:hAnsi="Times" w:cs="Sabon"/>
          <w:i/>
          <w:iCs/>
          <w:color w:val="000000"/>
        </w:rPr>
        <w:t>et al.</w:t>
      </w:r>
      <w:r w:rsidRPr="00173404">
        <w:rPr>
          <w:rFonts w:ascii="Times" w:hAnsi="Times" w:cs="Sabon"/>
          <w:color w:val="000000"/>
        </w:rPr>
        <w:t>, 2012), we set out to assess the practical use of quantitative proteomics in this model species. For all biological samples, a majority of the proteins identi</w:t>
      </w:r>
      <w:r w:rsidRPr="00173404">
        <w:rPr>
          <w:rFonts w:ascii="Times" w:hAnsi="Times" w:cs="Sabon"/>
          <w:color w:val="000000"/>
        </w:rPr>
        <w:softHyphen/>
        <w:t>fied (54–55%) were present in all respective technical repli</w:t>
      </w:r>
      <w:r w:rsidRPr="00173404">
        <w:rPr>
          <w:rFonts w:ascii="Times" w:hAnsi="Times" w:cs="Sabon"/>
          <w:color w:val="000000"/>
        </w:rPr>
        <w:softHyphen/>
        <w:t xml:space="preserve">cates. Relative expression across technical and biological replicates was also consistent (Fig. </w:t>
      </w:r>
      <w:r w:rsidR="005E6037">
        <w:rPr>
          <w:rFonts w:ascii="Times" w:hAnsi="Times" w:cs="Sabon"/>
          <w:color w:val="000000"/>
        </w:rPr>
        <w:t>II.</w:t>
      </w:r>
      <w:r w:rsidRPr="00173404">
        <w:rPr>
          <w:rFonts w:ascii="Times" w:hAnsi="Times" w:cs="Sabon"/>
          <w:color w:val="000000"/>
        </w:rPr>
        <w:t xml:space="preserve">1, Supplementary Data </w:t>
      </w:r>
      <w:r w:rsidR="005E6037">
        <w:rPr>
          <w:rFonts w:ascii="Times" w:hAnsi="Times" w:cs="Sabon"/>
          <w:color w:val="000000"/>
        </w:rPr>
        <w:t>II.</w:t>
      </w:r>
      <w:r w:rsidRPr="00173404">
        <w:rPr>
          <w:rFonts w:ascii="Times" w:hAnsi="Times" w:cs="Sabon"/>
          <w:color w:val="000000"/>
        </w:rPr>
        <w:t>1). However, there were some proteins not identified in all tech</w:t>
      </w:r>
      <w:r w:rsidRPr="00173404">
        <w:rPr>
          <w:rFonts w:ascii="Times" w:hAnsi="Times" w:cs="Sabon"/>
          <w:color w:val="000000"/>
        </w:rPr>
        <w:softHyphen/>
        <w:t>nical replicates. Thus, proteins with limited expression might not be detected and/or expression levels might not be reflected accurately. It should be noted that the inclusion of proteins in our analysis is highly dependent on threshold selection. In the present study, a protein was included only if it had two unique spectral hits within a replicate and had four total spectra across the combined technical replicate data. If the threshold were adjusted to be more conservative (i.e. a greater total spectral count threshold), variability would be reduced. With a total spectral count threshold of five, 983 proteins are identified and 56–57% of the proteins are in all three techni</w:t>
      </w:r>
      <w:r w:rsidRPr="00173404">
        <w:rPr>
          <w:rFonts w:ascii="Times" w:hAnsi="Times" w:cs="Sabon"/>
          <w:color w:val="000000"/>
        </w:rPr>
        <w:softHyphen/>
        <w:t>cal replicates; with a threshold of 10, 845 proteins are identi</w:t>
      </w:r>
      <w:r w:rsidRPr="00173404">
        <w:rPr>
          <w:rFonts w:ascii="Times" w:hAnsi="Times" w:cs="Sabon"/>
          <w:color w:val="000000"/>
        </w:rPr>
        <w:softHyphen/>
        <w:t xml:space="preserve">fied and 61–63% of the proteins are in all technical replicates (data not shown). </w:t>
      </w:r>
    </w:p>
    <w:p w14:paraId="74AEE8EA" w14:textId="28137C09" w:rsidR="00326AC2" w:rsidRPr="00173404" w:rsidRDefault="00326AC2" w:rsidP="00426D9F">
      <w:pPr>
        <w:pStyle w:val="Pa16"/>
        <w:spacing w:before="60" w:after="60" w:line="360" w:lineRule="auto"/>
        <w:ind w:firstLine="720"/>
        <w:jc w:val="both"/>
        <w:rPr>
          <w:rFonts w:ascii="Times" w:hAnsi="Times" w:cs="Sabon"/>
          <w:color w:val="000000"/>
        </w:rPr>
      </w:pPr>
      <w:r w:rsidRPr="00173404">
        <w:rPr>
          <w:rFonts w:ascii="Times" w:hAnsi="Times" w:cs="Sabon"/>
          <w:color w:val="000000"/>
        </w:rPr>
        <w:t>The number of proteins identified and subsequently anno</w:t>
      </w:r>
      <w:r w:rsidRPr="00173404">
        <w:rPr>
          <w:rFonts w:ascii="Times" w:hAnsi="Times" w:cs="Sabon"/>
          <w:color w:val="000000"/>
        </w:rPr>
        <w:softHyphen/>
        <w:t>tated can vary tremendously based on experimental design, target tissue, match thresholds, and genomic resources avail</w:t>
      </w:r>
      <w:r w:rsidRPr="00173404">
        <w:rPr>
          <w:rFonts w:ascii="Times" w:hAnsi="Times" w:cs="Sabon"/>
          <w:color w:val="000000"/>
        </w:rPr>
        <w:softHyphen/>
        <w:t xml:space="preserve">able. In the present study, the majority of the proteins (703) were identified in all biological samples. Based on </w:t>
      </w:r>
      <w:r w:rsidRPr="00173404">
        <w:rPr>
          <w:rFonts w:ascii="Times" w:hAnsi="Times" w:cs="Sabon"/>
          <w:i/>
          <w:iCs/>
          <w:color w:val="000000"/>
        </w:rPr>
        <w:t xml:space="preserve">in silico </w:t>
      </w:r>
      <w:r w:rsidRPr="00173404">
        <w:rPr>
          <w:rFonts w:ascii="Times" w:hAnsi="Times" w:cs="Sabon"/>
          <w:color w:val="000000"/>
        </w:rPr>
        <w:t xml:space="preserve">analysis (Fig. </w:t>
      </w:r>
      <w:r w:rsidR="005E6037">
        <w:rPr>
          <w:rFonts w:ascii="Times" w:hAnsi="Times" w:cs="Sabon"/>
          <w:color w:val="000000"/>
        </w:rPr>
        <w:t>II.</w:t>
      </w:r>
      <w:r w:rsidRPr="00173404">
        <w:rPr>
          <w:rFonts w:ascii="Times" w:hAnsi="Times" w:cs="Sabon"/>
          <w:color w:val="000000"/>
        </w:rPr>
        <w:t>4), we have sequenced a relatively complete proteome for oyster gill tissue. In a study of European white</w:t>
      </w:r>
      <w:r w:rsidRPr="00173404">
        <w:rPr>
          <w:rFonts w:ascii="Times" w:hAnsi="Times" w:cs="Sabon"/>
          <w:color w:val="000000"/>
        </w:rPr>
        <w:softHyphen/>
        <w:t xml:space="preserve">fish, </w:t>
      </w:r>
      <w:r w:rsidRPr="00173404">
        <w:rPr>
          <w:rFonts w:ascii="Times" w:hAnsi="Times" w:cs="Sabon"/>
          <w:i/>
          <w:iCs/>
          <w:color w:val="000000"/>
        </w:rPr>
        <w:t>Coregonus lavaretus</w:t>
      </w:r>
      <w:r w:rsidRPr="00173404">
        <w:rPr>
          <w:rFonts w:ascii="Times" w:hAnsi="Times" w:cs="Sabon"/>
          <w:color w:val="000000"/>
        </w:rPr>
        <w:t xml:space="preserve">, proteomics on fish larvae yielded sequencing of peptides corresponding to 1500 proteins (Papakostas </w:t>
      </w:r>
      <w:r w:rsidRPr="00173404">
        <w:rPr>
          <w:rFonts w:ascii="Times" w:hAnsi="Times" w:cs="Sabon"/>
          <w:i/>
          <w:iCs/>
          <w:color w:val="000000"/>
        </w:rPr>
        <w:t>et al.</w:t>
      </w:r>
      <w:r w:rsidRPr="00173404">
        <w:rPr>
          <w:rFonts w:ascii="Times" w:hAnsi="Times" w:cs="Sabon"/>
          <w:color w:val="000000"/>
        </w:rPr>
        <w:t>, 2012). The similar number of protein identifications in whitefish compared with our study (1043) is likely to be associated with the tissue complexity. In the whitefish study, whole body tissue was examined. In a meta</w:t>
      </w:r>
      <w:r w:rsidRPr="00173404">
        <w:rPr>
          <w:rFonts w:ascii="Times" w:hAnsi="Times" w:cs="Sabon"/>
          <w:color w:val="000000"/>
        </w:rPr>
        <w:softHyphen/>
        <w:t xml:space="preserve">proteomics study of marine microbes, 2273 distinct proteins were identified across 10 samples (Morris </w:t>
      </w:r>
      <w:r w:rsidRPr="00173404">
        <w:rPr>
          <w:rFonts w:ascii="Times" w:hAnsi="Times" w:cs="Sabon"/>
          <w:i/>
          <w:iCs/>
          <w:color w:val="000000"/>
        </w:rPr>
        <w:t>et al.</w:t>
      </w:r>
      <w:r w:rsidRPr="00173404">
        <w:rPr>
          <w:rFonts w:ascii="Times" w:hAnsi="Times" w:cs="Sabon"/>
          <w:color w:val="000000"/>
        </w:rPr>
        <w:t xml:space="preserve">, 2010). The large number of proteins identified by Morris </w:t>
      </w:r>
      <w:r w:rsidRPr="00173404">
        <w:rPr>
          <w:rFonts w:ascii="Times" w:hAnsi="Times" w:cs="Sabon"/>
          <w:i/>
          <w:iCs/>
          <w:color w:val="000000"/>
        </w:rPr>
        <w:t xml:space="preserve">et al. </w:t>
      </w:r>
      <w:r w:rsidRPr="00173404">
        <w:rPr>
          <w:rFonts w:ascii="Times" w:hAnsi="Times" w:cs="Sabon"/>
          <w:color w:val="000000"/>
        </w:rPr>
        <w:t>(2010) is evidence of the large number of organisms and ecological niches that were sampled in their study. Previous proteomics studies on Sydney rock oyster haemolymph have found rela</w:t>
      </w:r>
      <w:r w:rsidRPr="00173404">
        <w:rPr>
          <w:rFonts w:ascii="Times" w:hAnsi="Times" w:cs="Sabon"/>
          <w:color w:val="000000"/>
        </w:rPr>
        <w:softHyphen/>
        <w:t xml:space="preserve">tively few proteins compared with the present study in gill tissue, with the number of identified proteins ranging from 49 to 514 (Simonian </w:t>
      </w:r>
      <w:r w:rsidRPr="00173404">
        <w:rPr>
          <w:rFonts w:ascii="Times" w:hAnsi="Times" w:cs="Sabon"/>
          <w:i/>
          <w:iCs/>
          <w:color w:val="000000"/>
        </w:rPr>
        <w:t>et al.</w:t>
      </w:r>
      <w:r w:rsidRPr="00173404">
        <w:rPr>
          <w:rFonts w:ascii="Times" w:hAnsi="Times" w:cs="Sabon"/>
          <w:color w:val="000000"/>
        </w:rPr>
        <w:t xml:space="preserve">, 2009; Thompson </w:t>
      </w:r>
      <w:r w:rsidRPr="00173404">
        <w:rPr>
          <w:rFonts w:ascii="Times" w:hAnsi="Times" w:cs="Sabon"/>
          <w:i/>
          <w:iCs/>
          <w:color w:val="000000"/>
        </w:rPr>
        <w:t>et al.</w:t>
      </w:r>
      <w:r w:rsidRPr="00173404">
        <w:rPr>
          <w:rFonts w:ascii="Times" w:hAnsi="Times" w:cs="Sabon"/>
          <w:color w:val="000000"/>
        </w:rPr>
        <w:t xml:space="preserve">, 2011, 2012a, 2012b; Muralidharan </w:t>
      </w:r>
      <w:r w:rsidRPr="00173404">
        <w:rPr>
          <w:rFonts w:ascii="Times" w:hAnsi="Times" w:cs="Sabon"/>
          <w:i/>
          <w:iCs/>
          <w:color w:val="000000"/>
        </w:rPr>
        <w:t>et al.</w:t>
      </w:r>
      <w:r w:rsidRPr="00173404">
        <w:rPr>
          <w:rFonts w:ascii="Times" w:hAnsi="Times" w:cs="Sabon"/>
          <w:color w:val="000000"/>
        </w:rPr>
        <w:t xml:space="preserve">, 2012). The identification of fewer proteins in haemolymph is probably because there are fewer cell types present in haemolymph compared with the gill. </w:t>
      </w:r>
    </w:p>
    <w:p w14:paraId="43F7D9DE" w14:textId="0E8A2197" w:rsidR="00326AC2" w:rsidRPr="00173404" w:rsidRDefault="00326AC2" w:rsidP="00426D9F">
      <w:pPr>
        <w:pStyle w:val="Default"/>
        <w:spacing w:before="220" w:after="60" w:line="360" w:lineRule="auto"/>
        <w:ind w:firstLine="720"/>
        <w:jc w:val="both"/>
        <w:rPr>
          <w:rFonts w:ascii="Times" w:hAnsi="Times" w:cs="Sabon"/>
        </w:rPr>
      </w:pPr>
      <w:r w:rsidRPr="00173404">
        <w:rPr>
          <w:rFonts w:ascii="Times" w:hAnsi="Times"/>
        </w:rPr>
        <w:t>In addition to assessing the feasibility of shotgun pro</w:t>
      </w:r>
      <w:r w:rsidRPr="00173404">
        <w:rPr>
          <w:rFonts w:ascii="Times" w:hAnsi="Times"/>
        </w:rPr>
        <w:softHyphen/>
        <w:t>teomics in the Pacific oyster, we were also able to provide a functional characterization of the gill proteome. Gene ontol</w:t>
      </w:r>
      <w:r w:rsidRPr="00173404">
        <w:rPr>
          <w:rFonts w:ascii="Times" w:hAnsi="Times"/>
        </w:rPr>
        <w:softHyphen/>
        <w:t>ogy characterization identified a majority of proteins associ</w:t>
      </w:r>
      <w:r w:rsidRPr="00173404">
        <w:rPr>
          <w:rFonts w:ascii="Times" w:hAnsi="Times"/>
        </w:rPr>
        <w:softHyphen/>
        <w:t xml:space="preserve">ated with protein metabolism, cell organization and biogenesis, and transport (Fig. </w:t>
      </w:r>
      <w:r w:rsidR="005E6037">
        <w:rPr>
          <w:rFonts w:ascii="Times" w:hAnsi="Times"/>
        </w:rPr>
        <w:t>II.</w:t>
      </w:r>
      <w:r w:rsidRPr="00173404">
        <w:rPr>
          <w:rFonts w:ascii="Times" w:hAnsi="Times"/>
        </w:rPr>
        <w:t xml:space="preserve">3). These biological functions would be expected, because gill tissue is the primary interface between the oyster and the environment (water), where the tissue’s major functions include ion regulation, respiration, </w:t>
      </w:r>
      <w:r w:rsidRPr="00173404">
        <w:rPr>
          <w:rFonts w:ascii="Times" w:hAnsi="Times" w:cs="Sabon"/>
        </w:rPr>
        <w:t xml:space="preserve">and sorting of food particles. The high number of proteins involved in these GO categories is not necessarily unique to gill tissue but is likely to reflect the multifunctional nature of a tissue that responds to variable environments. </w:t>
      </w:r>
    </w:p>
    <w:p w14:paraId="166DE601" w14:textId="3159115A" w:rsidR="00326AC2" w:rsidRPr="00173404" w:rsidRDefault="00326AC2" w:rsidP="00426D9F">
      <w:pPr>
        <w:widowControl w:val="0"/>
        <w:autoSpaceDE w:val="0"/>
        <w:autoSpaceDN w:val="0"/>
        <w:adjustRightInd w:val="0"/>
        <w:spacing w:before="60" w:after="60" w:line="360" w:lineRule="auto"/>
        <w:ind w:firstLine="720"/>
        <w:jc w:val="both"/>
        <w:rPr>
          <w:rFonts w:ascii="Times" w:hAnsi="Times" w:cs="Sabon"/>
          <w:color w:val="000000"/>
        </w:rPr>
      </w:pPr>
      <w:r w:rsidRPr="00173404">
        <w:rPr>
          <w:rFonts w:ascii="Times" w:hAnsi="Times" w:cs="Sabon"/>
          <w:color w:val="000000"/>
        </w:rPr>
        <w:t>Enrichment analysis was performed to identify which functional groups of proteins expressed in gill tissue were over-represented in</w:t>
      </w:r>
      <w:r w:rsidR="0070002F">
        <w:rPr>
          <w:rFonts w:ascii="Times" w:hAnsi="Times" w:cs="Sabon"/>
          <w:color w:val="000000"/>
        </w:rPr>
        <w:t xml:space="preserve"> </w:t>
      </w:r>
      <w:r w:rsidRPr="00173404">
        <w:rPr>
          <w:rFonts w:ascii="Times" w:hAnsi="Times" w:cs="Sabon"/>
          <w:color w:val="000000"/>
        </w:rPr>
        <w:t>comparison to the complete protein reper</w:t>
      </w:r>
      <w:r w:rsidRPr="00173404">
        <w:rPr>
          <w:rFonts w:ascii="Times" w:hAnsi="Times" w:cs="Sabon"/>
          <w:color w:val="000000"/>
        </w:rPr>
        <w:softHyphen/>
        <w:t>toire. Several of the functional groups identified were associ</w:t>
      </w:r>
      <w:r w:rsidRPr="00173404">
        <w:rPr>
          <w:rFonts w:ascii="Times" w:hAnsi="Times" w:cs="Sabon"/>
          <w:color w:val="000000"/>
        </w:rPr>
        <w:softHyphen/>
        <w:t>ated with the abundant proteins involved in metabolism and transport, as well as cellular structure. These enrichment analysis findings are consistent with a previous transcrip</w:t>
      </w:r>
      <w:r w:rsidRPr="00173404">
        <w:rPr>
          <w:rFonts w:ascii="Times" w:hAnsi="Times" w:cs="Sabon"/>
          <w:color w:val="000000"/>
        </w:rPr>
        <w:softHyphen/>
        <w:t xml:space="preserve">tomic comparison between </w:t>
      </w:r>
      <w:r w:rsidRPr="00173404">
        <w:rPr>
          <w:rFonts w:ascii="Times" w:hAnsi="Times" w:cs="Sabon"/>
          <w:i/>
          <w:iCs/>
          <w:color w:val="000000"/>
        </w:rPr>
        <w:t xml:space="preserve">C. gigas </w:t>
      </w:r>
      <w:r w:rsidRPr="00173404">
        <w:rPr>
          <w:rFonts w:ascii="Times" w:hAnsi="Times" w:cs="Sabon"/>
          <w:color w:val="000000"/>
        </w:rPr>
        <w:t>gill tissue and other tis</w:t>
      </w:r>
      <w:r w:rsidRPr="00173404">
        <w:rPr>
          <w:rFonts w:ascii="Times" w:hAnsi="Times" w:cs="Sabon"/>
          <w:color w:val="000000"/>
        </w:rPr>
        <w:softHyphen/>
        <w:t xml:space="preserve">sues, with genes predominantly expressed in the gill being involved in epithelia morphogenesis, cilia movement, and detoxification and defense (Dheilly </w:t>
      </w:r>
      <w:r w:rsidRPr="00173404">
        <w:rPr>
          <w:rFonts w:ascii="Times" w:hAnsi="Times" w:cs="Sabon"/>
          <w:i/>
          <w:iCs/>
          <w:color w:val="000000"/>
        </w:rPr>
        <w:t>et al.</w:t>
      </w:r>
      <w:r w:rsidRPr="00173404">
        <w:rPr>
          <w:rFonts w:ascii="Times" w:hAnsi="Times" w:cs="Sabon"/>
          <w:color w:val="000000"/>
        </w:rPr>
        <w:t>, 2011). Some of the cytoskeletal proteins identified in gill were tektin-3, microtu</w:t>
      </w:r>
      <w:r w:rsidRPr="00173404">
        <w:rPr>
          <w:rFonts w:ascii="Times" w:hAnsi="Times" w:cs="Sabon"/>
          <w:color w:val="000000"/>
        </w:rPr>
        <w:softHyphen/>
        <w:t>bule-associated protein futsch, and actin. Tektin is part of cilia and flagellar microtubules and has been found to change expression in response to an elevated partial pressure of CO</w:t>
      </w:r>
      <w:r w:rsidRPr="0070002F">
        <w:rPr>
          <w:rFonts w:ascii="Times" w:hAnsi="Times" w:cs="Sabon"/>
          <w:color w:val="000000"/>
          <w:vertAlign w:val="subscript"/>
        </w:rPr>
        <w:t>2</w:t>
      </w:r>
      <w:r w:rsidRPr="00173404">
        <w:rPr>
          <w:rFonts w:ascii="Times" w:hAnsi="Times" w:cs="Sabon"/>
          <w:color w:val="000000"/>
        </w:rPr>
        <w:t xml:space="preserve"> (Dineshram </w:t>
      </w:r>
      <w:r w:rsidRPr="00173404">
        <w:rPr>
          <w:rFonts w:ascii="Times" w:hAnsi="Times" w:cs="Sabon"/>
          <w:i/>
          <w:iCs/>
          <w:color w:val="000000"/>
        </w:rPr>
        <w:t>et al.</w:t>
      </w:r>
      <w:r w:rsidRPr="00173404">
        <w:rPr>
          <w:rFonts w:ascii="Times" w:hAnsi="Times" w:cs="Sabon"/>
          <w:color w:val="000000"/>
        </w:rPr>
        <w:t xml:space="preserve">, 2013), and has also been identified in Sydney rock oyster haemolymph (Thompson </w:t>
      </w:r>
      <w:r w:rsidRPr="00173404">
        <w:rPr>
          <w:rFonts w:ascii="Times" w:hAnsi="Times" w:cs="Sabon"/>
          <w:i/>
          <w:iCs/>
          <w:color w:val="000000"/>
        </w:rPr>
        <w:t>et al.</w:t>
      </w:r>
      <w:r w:rsidRPr="00173404">
        <w:rPr>
          <w:rFonts w:ascii="Times" w:hAnsi="Times" w:cs="Sabon"/>
          <w:color w:val="000000"/>
        </w:rPr>
        <w:t>, 2012b). Transport proteins included ATP synthases and v-type proton ATP synthase. ATP synthase is a good marker of environmen</w:t>
      </w:r>
      <w:r w:rsidRPr="00173404">
        <w:rPr>
          <w:rFonts w:ascii="Times" w:hAnsi="Times" w:cs="Sabon"/>
          <w:color w:val="000000"/>
        </w:rPr>
        <w:softHyphen/>
        <w:t xml:space="preserve">tal stress in </w:t>
      </w:r>
      <w:r w:rsidRPr="00173404">
        <w:rPr>
          <w:rFonts w:ascii="Times" w:hAnsi="Times" w:cs="Sabon"/>
          <w:i/>
          <w:iCs/>
          <w:color w:val="000000"/>
        </w:rPr>
        <w:t>C. gigas</w:t>
      </w:r>
      <w:r w:rsidRPr="00173404">
        <w:rPr>
          <w:rFonts w:ascii="Times" w:hAnsi="Times" w:cs="Sabon"/>
          <w:color w:val="000000"/>
        </w:rPr>
        <w:t xml:space="preserve">, because its transcript expression is altered in response to hypoxia (David </w:t>
      </w:r>
      <w:r w:rsidRPr="00173404">
        <w:rPr>
          <w:rFonts w:ascii="Times" w:hAnsi="Times" w:cs="Sabon"/>
          <w:i/>
          <w:iCs/>
          <w:color w:val="000000"/>
        </w:rPr>
        <w:t>et al.</w:t>
      </w:r>
      <w:r w:rsidRPr="00173404">
        <w:rPr>
          <w:rFonts w:ascii="Times" w:hAnsi="Times" w:cs="Sabon"/>
          <w:color w:val="000000"/>
        </w:rPr>
        <w:t>, 2005) and pesti</w:t>
      </w:r>
      <w:r w:rsidRPr="00173404">
        <w:rPr>
          <w:rFonts w:ascii="Times" w:hAnsi="Times" w:cs="Sabon"/>
          <w:color w:val="000000"/>
        </w:rPr>
        <w:softHyphen/>
        <w:t xml:space="preserve">cide exposure (Tanguy </w:t>
      </w:r>
      <w:r w:rsidRPr="00173404">
        <w:rPr>
          <w:rFonts w:ascii="Times" w:hAnsi="Times" w:cs="Sabon"/>
          <w:i/>
          <w:iCs/>
          <w:color w:val="000000"/>
        </w:rPr>
        <w:t>et al.</w:t>
      </w:r>
      <w:r w:rsidRPr="00173404">
        <w:rPr>
          <w:rFonts w:ascii="Times" w:hAnsi="Times" w:cs="Sabon"/>
          <w:color w:val="000000"/>
        </w:rPr>
        <w:t>, 2005). The most significantly enriched biological process was generation of precursor metabolites and energy. Many of the proteins that contrib</w:t>
      </w:r>
      <w:r w:rsidRPr="00173404">
        <w:rPr>
          <w:rFonts w:ascii="Times" w:hAnsi="Times" w:cs="Sabon"/>
          <w:color w:val="000000"/>
        </w:rPr>
        <w:softHyphen/>
        <w:t xml:space="preserve">uted to the over-representation of this GO category in the gill tissue are involved in metabolic processes, such as 2-oxoglutarate dehydrogenase, dihydroplipoyllisin-residue acetyltransferase, glycogen phosphorylase, triose phosphate isomerase, and hexokinase. These enzymes are all involved in the breakdown of carbohydrates and other food inputs, and thus underline the important metabolic processes that occur in the gill. </w:t>
      </w:r>
    </w:p>
    <w:p w14:paraId="111D6B5D" w14:textId="77777777" w:rsidR="00326AC2" w:rsidRPr="00173404" w:rsidRDefault="00326AC2" w:rsidP="00426D9F">
      <w:pPr>
        <w:widowControl w:val="0"/>
        <w:autoSpaceDE w:val="0"/>
        <w:autoSpaceDN w:val="0"/>
        <w:adjustRightInd w:val="0"/>
        <w:spacing w:before="80" w:after="60" w:line="360" w:lineRule="auto"/>
        <w:ind w:firstLine="720"/>
        <w:jc w:val="both"/>
        <w:rPr>
          <w:rFonts w:ascii="Times" w:hAnsi="Times" w:cs="Sabon"/>
          <w:color w:val="000000"/>
        </w:rPr>
      </w:pPr>
      <w:r w:rsidRPr="00173404">
        <w:rPr>
          <w:rFonts w:ascii="Times" w:hAnsi="Times" w:cs="Sabon"/>
          <w:color w:val="000000"/>
        </w:rPr>
        <w:t>Proteins involved in oxygen metabolism and reactive oxy</w:t>
      </w:r>
      <w:r w:rsidRPr="00173404">
        <w:rPr>
          <w:rFonts w:ascii="Times" w:hAnsi="Times" w:cs="Sabon"/>
          <w:color w:val="000000"/>
        </w:rPr>
        <w:softHyphen/>
        <w:t>gen species defense were also enriched in gill tissue, providing further support for the importance of gill tissue in response to environmental change. Previous transcriptomics-based stud</w:t>
      </w:r>
      <w:r w:rsidRPr="00173404">
        <w:rPr>
          <w:rFonts w:ascii="Times" w:hAnsi="Times" w:cs="Sabon"/>
          <w:color w:val="000000"/>
        </w:rPr>
        <w:softHyphen/>
        <w:t xml:space="preserve">ies of oysters support that the oxidative stress response plays an important role in the gill tissue (e.g. David </w:t>
      </w:r>
      <w:r w:rsidRPr="00173404">
        <w:rPr>
          <w:rFonts w:ascii="Times" w:hAnsi="Times" w:cs="Sabon"/>
          <w:i/>
          <w:iCs/>
          <w:color w:val="000000"/>
        </w:rPr>
        <w:t>et al.</w:t>
      </w:r>
      <w:r w:rsidRPr="00173404">
        <w:rPr>
          <w:rFonts w:ascii="Times" w:hAnsi="Times" w:cs="Sabon"/>
          <w:color w:val="000000"/>
        </w:rPr>
        <w:t xml:space="preserve">, 2007; Fleury and Huvet, 2012). Genes and proteins responding to production of reactive oxygen species increase in oysters in many instances of environmental stress, such as exposure to contaminants (e.g. David </w:t>
      </w:r>
      <w:r w:rsidRPr="00173404">
        <w:rPr>
          <w:rFonts w:ascii="Times" w:hAnsi="Times" w:cs="Sabon"/>
          <w:i/>
          <w:iCs/>
          <w:color w:val="000000"/>
        </w:rPr>
        <w:t>et al.</w:t>
      </w:r>
      <w:r w:rsidRPr="00173404">
        <w:rPr>
          <w:rFonts w:ascii="Times" w:hAnsi="Times" w:cs="Sabon"/>
          <w:color w:val="000000"/>
        </w:rPr>
        <w:t xml:space="preserve">, 2007; Muralidharan et al., 2012), as well as exposure to ocean acidification (Tomanek </w:t>
      </w:r>
      <w:r w:rsidRPr="00173404">
        <w:rPr>
          <w:rFonts w:ascii="Times" w:hAnsi="Times" w:cs="Sabon"/>
          <w:i/>
          <w:iCs/>
          <w:color w:val="000000"/>
        </w:rPr>
        <w:t>et al.</w:t>
      </w:r>
      <w:r w:rsidRPr="00173404">
        <w:rPr>
          <w:rFonts w:ascii="Times" w:hAnsi="Times" w:cs="Sabon"/>
          <w:color w:val="000000"/>
        </w:rPr>
        <w:t xml:space="preserve">, 2011) and temperature stress (Meistertzheim </w:t>
      </w:r>
      <w:r w:rsidRPr="00173404">
        <w:rPr>
          <w:rFonts w:ascii="Times" w:hAnsi="Times" w:cs="Sabon"/>
          <w:i/>
          <w:iCs/>
          <w:color w:val="000000"/>
        </w:rPr>
        <w:t>et al.</w:t>
      </w:r>
      <w:r w:rsidRPr="00173404">
        <w:rPr>
          <w:rFonts w:ascii="Times" w:hAnsi="Times" w:cs="Sabon"/>
          <w:color w:val="000000"/>
        </w:rPr>
        <w:t>, 2007). Specific proteins that contribute to reactive oxygen species defense are enzymes instrumental in the physiological response to oxidative stress, such as the antioxidants super</w:t>
      </w:r>
      <w:r w:rsidRPr="00173404">
        <w:rPr>
          <w:rFonts w:ascii="Times" w:hAnsi="Times" w:cs="Sabon"/>
          <w:color w:val="000000"/>
        </w:rPr>
        <w:softHyphen/>
        <w:t xml:space="preserve">oxide dismutase, peroxiredoxin, and catalase. </w:t>
      </w:r>
    </w:p>
    <w:p w14:paraId="2FF2F52E" w14:textId="1B932381" w:rsidR="00326AC2" w:rsidRDefault="00326AC2" w:rsidP="00426D9F">
      <w:pPr>
        <w:spacing w:line="360" w:lineRule="auto"/>
        <w:ind w:firstLine="720"/>
        <w:jc w:val="both"/>
        <w:rPr>
          <w:rFonts w:ascii="Times" w:hAnsi="Times"/>
        </w:rPr>
      </w:pPr>
      <w:r w:rsidRPr="00173404">
        <w:rPr>
          <w:rFonts w:ascii="Times" w:hAnsi="Times" w:cs="Sabon"/>
          <w:color w:val="000000"/>
        </w:rPr>
        <w:t xml:space="preserve">The success of the shotgun sequencing effort was due in part to the recent publication of the </w:t>
      </w:r>
      <w:r w:rsidRPr="00173404">
        <w:rPr>
          <w:rFonts w:ascii="Times" w:hAnsi="Times" w:cs="Sabon"/>
          <w:i/>
          <w:iCs/>
          <w:color w:val="000000"/>
        </w:rPr>
        <w:t xml:space="preserve">C. gigas </w:t>
      </w:r>
      <w:r w:rsidRPr="00173404">
        <w:rPr>
          <w:rFonts w:ascii="Times" w:hAnsi="Times" w:cs="Sabon"/>
          <w:color w:val="000000"/>
        </w:rPr>
        <w:t>genome, emphasizing that the dissemination of genomic resources</w:t>
      </w:r>
      <w:r w:rsidR="00173404" w:rsidRPr="00173404">
        <w:rPr>
          <w:rFonts w:ascii="Times" w:hAnsi="Times" w:cs="Sabon"/>
          <w:color w:val="000000"/>
        </w:rPr>
        <w:t xml:space="preserve"> </w:t>
      </w:r>
      <w:r w:rsidR="00173404" w:rsidRPr="00173404">
        <w:rPr>
          <w:rFonts w:ascii="Times" w:hAnsi="Times"/>
        </w:rPr>
        <w:t>provides invaluable opportunities for advancement for the scientific community. The sharing of these large data sets, such as the genome and the gill proteome, will support further research into the effects of environmental changes on the oys</w:t>
      </w:r>
      <w:r w:rsidR="00173404" w:rsidRPr="00173404">
        <w:rPr>
          <w:rFonts w:ascii="Times" w:hAnsi="Times"/>
        </w:rPr>
        <w:softHyphen/>
        <w:t>ter in terms of both acclimatization and adaptation. The char</w:t>
      </w:r>
      <w:r w:rsidR="00173404" w:rsidRPr="00173404">
        <w:rPr>
          <w:rFonts w:ascii="Times" w:hAnsi="Times"/>
        </w:rPr>
        <w:softHyphen/>
        <w:t>acterization of the scope of acclimatization and adaptation are instrumental in understanding how the Pacific oyster, an ecologically and economically important species, can respond to climate change at the physiological and population levels. These research results demonstrate that shotgun sequencing of oyster gill tissue is a viable approach for biological discov</w:t>
      </w:r>
      <w:r w:rsidR="00173404" w:rsidRPr="00173404">
        <w:rPr>
          <w:rFonts w:ascii="Times" w:hAnsi="Times"/>
        </w:rPr>
        <w:softHyphen/>
        <w:t>ery and that it will be likely to play an important role in future studies on oyster physiology.</w:t>
      </w:r>
    </w:p>
    <w:p w14:paraId="0057CF52" w14:textId="77777777" w:rsidR="008014F1" w:rsidRDefault="008014F1" w:rsidP="008014F1">
      <w:pPr>
        <w:spacing w:line="360" w:lineRule="auto"/>
        <w:jc w:val="both"/>
        <w:rPr>
          <w:rFonts w:ascii="Times" w:hAnsi="Times"/>
        </w:rPr>
      </w:pPr>
    </w:p>
    <w:p w14:paraId="38002C8B" w14:textId="77777777" w:rsidR="008014F1" w:rsidRDefault="008014F1" w:rsidP="008014F1">
      <w:pPr>
        <w:pStyle w:val="Heading2"/>
      </w:pPr>
    </w:p>
    <w:p w14:paraId="79B99979" w14:textId="77777777" w:rsidR="008014F1" w:rsidRDefault="008014F1" w:rsidP="008014F1">
      <w:pPr>
        <w:pStyle w:val="Heading2"/>
      </w:pPr>
    </w:p>
    <w:p w14:paraId="6041B403" w14:textId="77777777" w:rsidR="008014F1" w:rsidRDefault="008014F1" w:rsidP="008014F1">
      <w:pPr>
        <w:pStyle w:val="Heading2"/>
      </w:pPr>
    </w:p>
    <w:p w14:paraId="53A3B712" w14:textId="77777777" w:rsidR="008014F1" w:rsidRDefault="008014F1" w:rsidP="008014F1">
      <w:pPr>
        <w:pStyle w:val="Heading2"/>
      </w:pPr>
    </w:p>
    <w:p w14:paraId="4AB32187" w14:textId="77777777" w:rsidR="008014F1" w:rsidRDefault="008014F1" w:rsidP="008014F1">
      <w:pPr>
        <w:pStyle w:val="Heading2"/>
      </w:pPr>
    </w:p>
    <w:p w14:paraId="551A18C6" w14:textId="77777777" w:rsidR="008014F1" w:rsidRDefault="008014F1" w:rsidP="008014F1">
      <w:pPr>
        <w:pStyle w:val="Heading2"/>
      </w:pPr>
    </w:p>
    <w:p w14:paraId="653550E0" w14:textId="77777777" w:rsidR="008014F1" w:rsidRDefault="008014F1" w:rsidP="008014F1"/>
    <w:p w14:paraId="533743BF" w14:textId="2F83B4A6" w:rsidR="00EB59F7" w:rsidRDefault="008014F1" w:rsidP="008014F1">
      <w:pPr>
        <w:pStyle w:val="Heading2"/>
      </w:pPr>
      <w:bookmarkStart w:id="43" w:name="_Toc257278797"/>
      <w:r>
        <w:t>Tables</w:t>
      </w:r>
      <w:bookmarkEnd w:id="43"/>
    </w:p>
    <w:p w14:paraId="28D878AF" w14:textId="77777777" w:rsidR="008014F1" w:rsidRDefault="008014F1" w:rsidP="00EB59F7">
      <w:pPr>
        <w:spacing w:line="360" w:lineRule="auto"/>
        <w:jc w:val="both"/>
        <w:rPr>
          <w:rFonts w:ascii="Times" w:hAnsi="Times" w:cs="Sabon"/>
          <w:color w:val="000000"/>
        </w:rPr>
      </w:pPr>
    </w:p>
    <w:p w14:paraId="43B91C69" w14:textId="4FC08C70" w:rsidR="008014F1" w:rsidRDefault="008014F1" w:rsidP="00EB59F7">
      <w:pPr>
        <w:spacing w:line="360" w:lineRule="auto"/>
        <w:jc w:val="both"/>
        <w:rPr>
          <w:rFonts w:ascii="Times" w:hAnsi="Times" w:cs="Sabon"/>
          <w:color w:val="000000"/>
        </w:rPr>
      </w:pPr>
      <w:r>
        <w:rPr>
          <w:rFonts w:ascii="Times" w:hAnsi="Times" w:cs="Sabon"/>
          <w:color w:val="000000"/>
        </w:rPr>
        <w:t>Table II.1. Summary of the number of peptides sequenced and proteins identified for each oyster (labeled A-D).</w:t>
      </w:r>
    </w:p>
    <w:p w14:paraId="32953B19" w14:textId="2208F784" w:rsidR="008014F1" w:rsidRDefault="008014F1" w:rsidP="00EB59F7">
      <w:pPr>
        <w:spacing w:line="360" w:lineRule="auto"/>
        <w:jc w:val="both"/>
        <w:rPr>
          <w:rFonts w:ascii="Times" w:hAnsi="Times"/>
        </w:rPr>
      </w:pPr>
      <w:r>
        <w:rPr>
          <w:rFonts w:ascii="Times" w:hAnsi="Times" w:cs="Sabon"/>
          <w:noProof/>
          <w:color w:val="000000"/>
          <w:lang w:eastAsia="en-US"/>
        </w:rPr>
        <w:drawing>
          <wp:inline distT="0" distB="0" distL="0" distR="0" wp14:anchorId="4D0C36BA" wp14:editId="60765DFA">
            <wp:extent cx="5486400" cy="2078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2078990"/>
                    </a:xfrm>
                    <a:prstGeom prst="rect">
                      <a:avLst/>
                    </a:prstGeom>
                  </pic:spPr>
                </pic:pic>
              </a:graphicData>
            </a:graphic>
          </wp:inline>
        </w:drawing>
      </w:r>
    </w:p>
    <w:p w14:paraId="497B48F5" w14:textId="77777777" w:rsidR="008014F1" w:rsidRDefault="008014F1" w:rsidP="00EB59F7">
      <w:pPr>
        <w:spacing w:line="360" w:lineRule="auto"/>
        <w:jc w:val="both"/>
        <w:rPr>
          <w:rFonts w:ascii="Times" w:hAnsi="Times"/>
        </w:rPr>
      </w:pPr>
    </w:p>
    <w:p w14:paraId="7D3A87DE" w14:textId="77777777" w:rsidR="008014F1" w:rsidRDefault="008014F1" w:rsidP="008014F1">
      <w:pPr>
        <w:pStyle w:val="Default"/>
        <w:spacing w:line="360" w:lineRule="auto"/>
      </w:pPr>
      <w:r w:rsidRPr="00114AD7">
        <w:rPr>
          <w:rFonts w:ascii="Times" w:hAnsi="Times"/>
        </w:rPr>
        <w:t>Table II.2. The 12 most abundant proteins in the gill proteome as determined by identifying the 10 most abundant proteins in each oyster.</w:t>
      </w:r>
    </w:p>
    <w:p w14:paraId="496C7F43" w14:textId="47249B84" w:rsidR="008014F1" w:rsidRDefault="008014F1" w:rsidP="00EB59F7">
      <w:pPr>
        <w:spacing w:line="360" w:lineRule="auto"/>
        <w:jc w:val="both"/>
        <w:rPr>
          <w:rFonts w:ascii="Times" w:hAnsi="Times"/>
        </w:rPr>
      </w:pPr>
      <w:r>
        <w:rPr>
          <w:noProof/>
          <w:lang w:eastAsia="en-US"/>
        </w:rPr>
        <w:drawing>
          <wp:inline distT="0" distB="0" distL="0" distR="0" wp14:anchorId="626F040C" wp14:editId="4E20C742">
            <wp:extent cx="5486400" cy="2564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2564130"/>
                    </a:xfrm>
                    <a:prstGeom prst="rect">
                      <a:avLst/>
                    </a:prstGeom>
                  </pic:spPr>
                </pic:pic>
              </a:graphicData>
            </a:graphic>
          </wp:inline>
        </w:drawing>
      </w:r>
    </w:p>
    <w:p w14:paraId="414271F1" w14:textId="77777777" w:rsidR="008014F1" w:rsidRDefault="008014F1" w:rsidP="00EB59F7">
      <w:pPr>
        <w:spacing w:line="360" w:lineRule="auto"/>
        <w:jc w:val="both"/>
        <w:rPr>
          <w:rFonts w:ascii="Times" w:hAnsi="Times"/>
        </w:rPr>
      </w:pPr>
    </w:p>
    <w:p w14:paraId="6EB96FFC" w14:textId="77777777" w:rsidR="008014F1" w:rsidRDefault="008014F1" w:rsidP="00EB59F7">
      <w:pPr>
        <w:spacing w:line="360" w:lineRule="auto"/>
        <w:jc w:val="both"/>
        <w:rPr>
          <w:rFonts w:ascii="Times" w:hAnsi="Times"/>
        </w:rPr>
      </w:pPr>
    </w:p>
    <w:p w14:paraId="5B0A0D9B" w14:textId="77777777" w:rsidR="008014F1" w:rsidRDefault="008014F1" w:rsidP="00EB59F7">
      <w:pPr>
        <w:spacing w:line="360" w:lineRule="auto"/>
        <w:jc w:val="both"/>
        <w:rPr>
          <w:rFonts w:ascii="Times" w:hAnsi="Times"/>
        </w:rPr>
      </w:pPr>
    </w:p>
    <w:p w14:paraId="2BB8E547" w14:textId="77777777" w:rsidR="008014F1" w:rsidRDefault="008014F1" w:rsidP="00EB59F7">
      <w:pPr>
        <w:spacing w:line="360" w:lineRule="auto"/>
        <w:jc w:val="both"/>
        <w:rPr>
          <w:rFonts w:ascii="Times" w:hAnsi="Times"/>
        </w:rPr>
      </w:pPr>
    </w:p>
    <w:p w14:paraId="6F4092D5" w14:textId="77777777" w:rsidR="008014F1" w:rsidRDefault="008014F1" w:rsidP="00EB59F7">
      <w:pPr>
        <w:spacing w:line="360" w:lineRule="auto"/>
        <w:jc w:val="both"/>
        <w:rPr>
          <w:rFonts w:ascii="Times" w:hAnsi="Times"/>
        </w:rPr>
      </w:pPr>
    </w:p>
    <w:p w14:paraId="1B4DDE82" w14:textId="77777777" w:rsidR="008014F1" w:rsidRDefault="008014F1" w:rsidP="00EB59F7">
      <w:pPr>
        <w:spacing w:line="360" w:lineRule="auto"/>
        <w:jc w:val="both"/>
        <w:rPr>
          <w:rFonts w:ascii="Times" w:hAnsi="Times"/>
        </w:rPr>
      </w:pPr>
    </w:p>
    <w:p w14:paraId="2D1A0178" w14:textId="6261B1A7" w:rsidR="008014F1" w:rsidRDefault="008014F1" w:rsidP="008014F1">
      <w:pPr>
        <w:pStyle w:val="Heading2"/>
      </w:pPr>
      <w:bookmarkStart w:id="44" w:name="_Toc257278798"/>
      <w:r>
        <w:t>Figures</w:t>
      </w:r>
      <w:bookmarkEnd w:id="44"/>
    </w:p>
    <w:p w14:paraId="59B7270B" w14:textId="58E939A5" w:rsidR="008014F1" w:rsidRDefault="008014F1" w:rsidP="00EB59F7">
      <w:pPr>
        <w:spacing w:line="360" w:lineRule="auto"/>
        <w:jc w:val="both"/>
        <w:rPr>
          <w:rFonts w:ascii="Times" w:hAnsi="Times"/>
        </w:rPr>
      </w:pPr>
      <w:r>
        <w:rPr>
          <w:noProof/>
          <w:lang w:eastAsia="en-US"/>
        </w:rPr>
        <w:drawing>
          <wp:inline distT="0" distB="0" distL="0" distR="0" wp14:anchorId="065550F4" wp14:editId="120F443C">
            <wp:extent cx="3823335" cy="3823335"/>
            <wp:effectExtent l="0" t="0" r="1206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tech reps.jpg"/>
                    <pic:cNvPicPr/>
                  </pic:nvPicPr>
                  <pic:blipFill>
                    <a:blip r:embed="rId17">
                      <a:extLst>
                        <a:ext uri="{28A0092B-C50C-407E-A947-70E740481C1C}">
                          <a14:useLocalDpi xmlns:a14="http://schemas.microsoft.com/office/drawing/2010/main" val="0"/>
                        </a:ext>
                      </a:extLst>
                    </a:blip>
                    <a:stretch>
                      <a:fillRect/>
                    </a:stretch>
                  </pic:blipFill>
                  <pic:spPr>
                    <a:xfrm>
                      <a:off x="0" y="0"/>
                      <a:ext cx="3823335" cy="3823335"/>
                    </a:xfrm>
                    <a:prstGeom prst="rect">
                      <a:avLst/>
                    </a:prstGeom>
                  </pic:spPr>
                </pic:pic>
              </a:graphicData>
            </a:graphic>
          </wp:inline>
        </w:drawing>
      </w:r>
    </w:p>
    <w:p w14:paraId="10C01422" w14:textId="77777777" w:rsidR="008014F1" w:rsidRDefault="008014F1" w:rsidP="008014F1">
      <w:pPr>
        <w:pStyle w:val="Default"/>
        <w:spacing w:line="360" w:lineRule="auto"/>
      </w:pPr>
      <w:r>
        <w:t>Figure II.1. Total independent spectral counts for three technical replicates for oyster A plotted for each protein (n = 1500).  Similar patterns were observed for the other three oysters (data not shown).</w:t>
      </w:r>
    </w:p>
    <w:p w14:paraId="47B1F2E5" w14:textId="77777777" w:rsidR="008014F1" w:rsidRDefault="008014F1" w:rsidP="00EB59F7">
      <w:pPr>
        <w:spacing w:line="360" w:lineRule="auto"/>
        <w:jc w:val="both"/>
        <w:rPr>
          <w:rFonts w:ascii="Times" w:hAnsi="Times"/>
        </w:rPr>
      </w:pPr>
    </w:p>
    <w:p w14:paraId="477343FC" w14:textId="2C03F8E2" w:rsidR="008014F1" w:rsidRDefault="008014F1" w:rsidP="00EB59F7">
      <w:pPr>
        <w:spacing w:line="360" w:lineRule="auto"/>
        <w:jc w:val="both"/>
        <w:rPr>
          <w:rFonts w:ascii="Times" w:hAnsi="Times"/>
        </w:rPr>
      </w:pPr>
      <w:r>
        <w:rPr>
          <w:noProof/>
          <w:lang w:eastAsia="en-US"/>
        </w:rPr>
        <w:drawing>
          <wp:inline distT="0" distB="0" distL="0" distR="0" wp14:anchorId="2F6FC3E1" wp14:editId="6DBA570B">
            <wp:extent cx="4166235" cy="34417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ster protein overlap.png"/>
                    <pic:cNvPicPr/>
                  </pic:nvPicPr>
                  <pic:blipFill rotWithShape="1">
                    <a:blip r:embed="rId18">
                      <a:extLst>
                        <a:ext uri="{28A0092B-C50C-407E-A947-70E740481C1C}">
                          <a14:useLocalDpi xmlns:a14="http://schemas.microsoft.com/office/drawing/2010/main" val="0"/>
                        </a:ext>
                      </a:extLst>
                    </a:blip>
                    <a:srcRect t="7621" b="9770"/>
                    <a:stretch/>
                  </pic:blipFill>
                  <pic:spPr bwMode="auto">
                    <a:xfrm>
                      <a:off x="0" y="0"/>
                      <a:ext cx="4166235" cy="3441700"/>
                    </a:xfrm>
                    <a:prstGeom prst="rect">
                      <a:avLst/>
                    </a:prstGeom>
                    <a:ln>
                      <a:noFill/>
                    </a:ln>
                    <a:extLst>
                      <a:ext uri="{53640926-AAD7-44d8-BBD7-CCE9431645EC}">
                        <a14:shadowObscured xmlns:a14="http://schemas.microsoft.com/office/drawing/2010/main"/>
                      </a:ext>
                    </a:extLst>
                  </pic:spPr>
                </pic:pic>
              </a:graphicData>
            </a:graphic>
          </wp:inline>
        </w:drawing>
      </w:r>
    </w:p>
    <w:p w14:paraId="52DA4DEA" w14:textId="77777777" w:rsidR="008014F1" w:rsidRDefault="008014F1" w:rsidP="008014F1">
      <w:pPr>
        <w:pStyle w:val="Default"/>
        <w:spacing w:line="360" w:lineRule="auto"/>
      </w:pPr>
      <w:r>
        <w:t>Figure II.2.  Venn diagram of proteins identified among biological samples.  Proteins identified in oyster A are in the blue ellipse, B in the yellow, C in green, and oyster D proteins are in the red ellipse.</w:t>
      </w:r>
    </w:p>
    <w:p w14:paraId="63125F2E" w14:textId="77777777" w:rsidR="008014F1" w:rsidRDefault="008014F1" w:rsidP="00EB59F7">
      <w:pPr>
        <w:spacing w:line="360" w:lineRule="auto"/>
        <w:jc w:val="both"/>
        <w:rPr>
          <w:rFonts w:ascii="Times" w:hAnsi="Times"/>
        </w:rPr>
      </w:pPr>
    </w:p>
    <w:p w14:paraId="625AF7AB" w14:textId="3CAC8549" w:rsidR="008014F1" w:rsidRDefault="008014F1" w:rsidP="00EB59F7">
      <w:pPr>
        <w:spacing w:line="360" w:lineRule="auto"/>
        <w:jc w:val="both"/>
        <w:rPr>
          <w:rFonts w:ascii="Times" w:hAnsi="Times"/>
        </w:rPr>
      </w:pPr>
      <w:r>
        <w:rPr>
          <w:noProof/>
          <w:lang w:eastAsia="en-US"/>
        </w:rPr>
        <w:drawing>
          <wp:inline distT="0" distB="0" distL="0" distR="0" wp14:anchorId="418212BE" wp14:editId="33CDE973">
            <wp:extent cx="5444273" cy="36220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 proteome pie.jpg"/>
                    <pic:cNvPicPr/>
                  </pic:nvPicPr>
                  <pic:blipFill rotWithShape="1">
                    <a:blip r:embed="rId19">
                      <a:extLst>
                        <a:ext uri="{28A0092B-C50C-407E-A947-70E740481C1C}">
                          <a14:useLocalDpi xmlns:a14="http://schemas.microsoft.com/office/drawing/2010/main" val="0"/>
                        </a:ext>
                      </a:extLst>
                    </a:blip>
                    <a:srcRect l="4240" t="7463" r="4010" b="13540"/>
                    <a:stretch/>
                  </pic:blipFill>
                  <pic:spPr bwMode="auto">
                    <a:xfrm>
                      <a:off x="0" y="0"/>
                      <a:ext cx="5448425" cy="3624802"/>
                    </a:xfrm>
                    <a:prstGeom prst="rect">
                      <a:avLst/>
                    </a:prstGeom>
                    <a:ln>
                      <a:noFill/>
                    </a:ln>
                    <a:extLst>
                      <a:ext uri="{53640926-AAD7-44d8-BBD7-CCE9431645EC}">
                        <a14:shadowObscured xmlns:a14="http://schemas.microsoft.com/office/drawing/2010/main"/>
                      </a:ext>
                    </a:extLst>
                  </pic:spPr>
                </pic:pic>
              </a:graphicData>
            </a:graphic>
          </wp:inline>
        </w:drawing>
      </w:r>
    </w:p>
    <w:p w14:paraId="0E2F561E" w14:textId="77777777" w:rsidR="008014F1" w:rsidRPr="00114AD7" w:rsidRDefault="008014F1" w:rsidP="008014F1">
      <w:pPr>
        <w:pStyle w:val="Default"/>
        <w:spacing w:line="360" w:lineRule="auto"/>
        <w:rPr>
          <w:rFonts w:ascii="Times" w:hAnsi="Times"/>
        </w:rPr>
      </w:pPr>
      <w:r w:rsidRPr="00114AD7">
        <w:rPr>
          <w:rFonts w:ascii="Times" w:hAnsi="Times"/>
        </w:rPr>
        <w:t>Figure II.3. Representation of biological processes corresponding to the proteins identified from oyster gill tissue.</w:t>
      </w:r>
    </w:p>
    <w:p w14:paraId="33CB0298" w14:textId="77777777" w:rsidR="008014F1" w:rsidRDefault="008014F1" w:rsidP="00EB59F7">
      <w:pPr>
        <w:spacing w:line="360" w:lineRule="auto"/>
        <w:jc w:val="both"/>
        <w:rPr>
          <w:rFonts w:ascii="Times" w:hAnsi="Times"/>
        </w:rPr>
      </w:pPr>
    </w:p>
    <w:p w14:paraId="7D81AACE" w14:textId="3561B1B6" w:rsidR="008014F1" w:rsidRDefault="008014F1" w:rsidP="00EB59F7">
      <w:pPr>
        <w:spacing w:line="360" w:lineRule="auto"/>
        <w:jc w:val="both"/>
        <w:rPr>
          <w:rFonts w:ascii="Times" w:hAnsi="Times"/>
        </w:rPr>
      </w:pPr>
      <w:r>
        <w:rPr>
          <w:rFonts w:ascii="Times" w:hAnsi="Times"/>
          <w:noProof/>
          <w:lang w:eastAsia="en-US"/>
        </w:rPr>
        <w:drawing>
          <wp:inline distT="0" distB="0" distL="0" distR="0" wp14:anchorId="7FEB7233" wp14:editId="0688FBA0">
            <wp:extent cx="3998595" cy="39985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20">
                      <a:extLst>
                        <a:ext uri="{28A0092B-C50C-407E-A947-70E740481C1C}">
                          <a14:useLocalDpi xmlns:a14="http://schemas.microsoft.com/office/drawing/2010/main" val="0"/>
                        </a:ext>
                      </a:extLst>
                    </a:blip>
                    <a:stretch>
                      <a:fillRect/>
                    </a:stretch>
                  </pic:blipFill>
                  <pic:spPr>
                    <a:xfrm>
                      <a:off x="0" y="0"/>
                      <a:ext cx="3998595" cy="3998595"/>
                    </a:xfrm>
                    <a:prstGeom prst="rect">
                      <a:avLst/>
                    </a:prstGeom>
                  </pic:spPr>
                </pic:pic>
              </a:graphicData>
            </a:graphic>
          </wp:inline>
        </w:drawing>
      </w:r>
    </w:p>
    <w:p w14:paraId="3DD00B59" w14:textId="2AEF6B03" w:rsidR="008014F1" w:rsidRDefault="008014F1" w:rsidP="008014F1">
      <w:pPr>
        <w:spacing w:line="360" w:lineRule="auto"/>
        <w:rPr>
          <w:rFonts w:ascii="Times" w:hAnsi="Times"/>
        </w:rPr>
      </w:pPr>
      <w:r>
        <w:rPr>
          <w:rFonts w:ascii="Times" w:hAnsi="Times"/>
        </w:rPr>
        <w:t>Figure II.4. Predicted number of unique proteins that would be identified based on a sequential increase in peptide sequences.</w:t>
      </w:r>
    </w:p>
    <w:p w14:paraId="0A2EE0F0" w14:textId="70ED1A07" w:rsidR="00EB59F7" w:rsidRDefault="00EB59F7" w:rsidP="009079FD">
      <w:pPr>
        <w:pStyle w:val="Heading2"/>
      </w:pPr>
      <w:bookmarkStart w:id="45" w:name="_Toc257278799"/>
      <w:r>
        <w:t>Supplementary Information</w:t>
      </w:r>
      <w:bookmarkEnd w:id="45"/>
    </w:p>
    <w:p w14:paraId="3DE928A2" w14:textId="77777777" w:rsidR="008014F1" w:rsidRPr="008014F1" w:rsidRDefault="008014F1" w:rsidP="008014F1"/>
    <w:p w14:paraId="437815E7" w14:textId="41D07059" w:rsidR="00EB59F7" w:rsidRDefault="00EB59F7" w:rsidP="00EB59F7">
      <w:pPr>
        <w:spacing w:line="360" w:lineRule="auto"/>
        <w:jc w:val="both"/>
        <w:rPr>
          <w:rStyle w:val="Hyperlink"/>
          <w:rFonts w:ascii="Times" w:hAnsi="Times"/>
        </w:rPr>
      </w:pPr>
      <w:r>
        <w:rPr>
          <w:rFonts w:ascii="Times" w:hAnsi="Times"/>
        </w:rPr>
        <w:t xml:space="preserve">Supplementary information can be found in the online, published version of this article at </w:t>
      </w:r>
      <w:hyperlink r:id="rId21" w:history="1">
        <w:r w:rsidRPr="00FC7EE5">
          <w:rPr>
            <w:rStyle w:val="Hyperlink"/>
            <w:rFonts w:ascii="Times" w:hAnsi="Times"/>
          </w:rPr>
          <w:t>http://conphys.oxfordjournals.org/content/1/1/cot009/suppl/DC1</w:t>
        </w:r>
      </w:hyperlink>
    </w:p>
    <w:p w14:paraId="342E7285" w14:textId="0C5B54B6" w:rsidR="0052729A" w:rsidRPr="0052729A" w:rsidRDefault="0052729A" w:rsidP="00EB59F7">
      <w:pPr>
        <w:spacing w:line="360" w:lineRule="auto"/>
        <w:jc w:val="both"/>
        <w:rPr>
          <w:rFonts w:ascii="Times" w:hAnsi="Times"/>
        </w:rPr>
      </w:pPr>
      <w:r w:rsidRPr="0052729A">
        <w:rPr>
          <w:rStyle w:val="Hyperlink"/>
          <w:rFonts w:ascii="Times" w:hAnsi="Times"/>
          <w:color w:val="auto"/>
          <w:u w:val="none"/>
        </w:rPr>
        <w:t>doi: 10.1093/conphys/cot009</w:t>
      </w:r>
    </w:p>
    <w:p w14:paraId="3F104A3F" w14:textId="4FC2C94D" w:rsidR="00EB59F7" w:rsidRDefault="00EB59F7" w:rsidP="00EB59F7">
      <w:pPr>
        <w:spacing w:line="360" w:lineRule="auto"/>
        <w:jc w:val="both"/>
        <w:rPr>
          <w:rFonts w:ascii="Times" w:hAnsi="Times"/>
        </w:rPr>
      </w:pPr>
      <w:r>
        <w:rPr>
          <w:rFonts w:ascii="Times" w:hAnsi="Times"/>
        </w:rPr>
        <w:t>Supplementary Data 1: Correlations of protein expression values between biological replicates.</w:t>
      </w:r>
    </w:p>
    <w:p w14:paraId="064CEA3D" w14:textId="75CD9648" w:rsidR="00EB59F7" w:rsidRDefault="0024555E" w:rsidP="00EB59F7">
      <w:pPr>
        <w:spacing w:line="360" w:lineRule="auto"/>
        <w:jc w:val="both"/>
        <w:rPr>
          <w:rFonts w:ascii="Times" w:hAnsi="Times"/>
        </w:rPr>
      </w:pPr>
      <w:r>
        <w:rPr>
          <w:rFonts w:ascii="Times" w:hAnsi="Times"/>
        </w:rPr>
        <w:t>Supplementary Data 2: SwissProt-KB/Uniprot Annotations and spectral counts across biological replicates for all 2 850 proteins identified.</w:t>
      </w:r>
    </w:p>
    <w:p w14:paraId="6B0B44AF" w14:textId="2A56E995" w:rsidR="0024555E" w:rsidRDefault="0024555E" w:rsidP="00EB59F7">
      <w:pPr>
        <w:spacing w:line="360" w:lineRule="auto"/>
        <w:jc w:val="both"/>
        <w:rPr>
          <w:rFonts w:ascii="Times" w:hAnsi="Times"/>
        </w:rPr>
      </w:pPr>
      <w:r>
        <w:rPr>
          <w:rFonts w:ascii="Times" w:hAnsi="Times"/>
        </w:rPr>
        <w:t>Supplementary Data 3: Protein identifications for each technical replicate, including protein probability scores, number of total and unique spectra, and peptide sequences.</w:t>
      </w:r>
    </w:p>
    <w:p w14:paraId="634BC448" w14:textId="6CB5DF1C" w:rsidR="0024555E" w:rsidRDefault="0024555E" w:rsidP="00EB59F7">
      <w:pPr>
        <w:spacing w:line="360" w:lineRule="auto"/>
        <w:jc w:val="both"/>
        <w:rPr>
          <w:rFonts w:ascii="Times" w:hAnsi="Times"/>
        </w:rPr>
      </w:pPr>
      <w:r>
        <w:rPr>
          <w:rFonts w:ascii="Times" w:hAnsi="Times"/>
        </w:rPr>
        <w:t>Supplementary Data 4: Normalized spectral abundance factors (NSAF) for each protein in each biological replicate.</w:t>
      </w:r>
    </w:p>
    <w:p w14:paraId="183D3706" w14:textId="7F74B2C6" w:rsidR="0024555E" w:rsidRPr="00173404" w:rsidRDefault="0024555E" w:rsidP="00EB59F7">
      <w:pPr>
        <w:spacing w:line="360" w:lineRule="auto"/>
        <w:jc w:val="both"/>
        <w:rPr>
          <w:rFonts w:ascii="Times" w:hAnsi="Times"/>
        </w:rPr>
      </w:pPr>
      <w:r>
        <w:rPr>
          <w:rFonts w:ascii="Times" w:hAnsi="Times"/>
        </w:rPr>
        <w:t>Supplementary Data 5: Gene Ontology (GO) annotations for each protein.</w:t>
      </w:r>
    </w:p>
    <w:p w14:paraId="76C5CA6D" w14:textId="1CF3AB24" w:rsidR="00173404" w:rsidRDefault="00173404" w:rsidP="00173404">
      <w:pPr>
        <w:pStyle w:val="Heading2"/>
      </w:pPr>
      <w:bookmarkStart w:id="46" w:name="_Toc257278800"/>
      <w:r>
        <w:t>Acknowledgements</w:t>
      </w:r>
      <w:bookmarkEnd w:id="46"/>
    </w:p>
    <w:p w14:paraId="565F0E0D" w14:textId="17AADC1F" w:rsidR="00173404" w:rsidRDefault="00173404" w:rsidP="00173404">
      <w:pPr>
        <w:rPr>
          <w:rFonts w:ascii="Times" w:hAnsi="Times" w:cs="Sabon"/>
          <w:color w:val="000000"/>
        </w:rPr>
      </w:pPr>
      <w:r w:rsidRPr="00173404">
        <w:rPr>
          <w:rFonts w:ascii="Times" w:hAnsi="Times" w:cs="Sabon"/>
          <w:color w:val="000000"/>
        </w:rPr>
        <w:t>We would like to thank Taylor Shellfish for donating the oys</w:t>
      </w:r>
      <w:r w:rsidRPr="00173404">
        <w:rPr>
          <w:rFonts w:ascii="Times" w:hAnsi="Times" w:cs="Sabon"/>
          <w:color w:val="000000"/>
        </w:rPr>
        <w:softHyphen/>
        <w:t>ters used for this study, Emily Carrington and Ken Sebens for providing laboratory space, and Ronen Elad who assisted with oyster care. Priska von Haller helped with experimental design for the LC-MS/MS and provided technical assistance. Jimmy Eng and Tahmina ‘Eva’ Jahan ran the database searches for protein identification. This work was supported by National Oceanographic and Atmospheric Administration Saltonstall-Kennedy Program (grant no. NA09NMF4270093).</w:t>
      </w:r>
    </w:p>
    <w:p w14:paraId="10CB4B1C" w14:textId="77777777" w:rsidR="00173404" w:rsidRDefault="00173404" w:rsidP="00173404">
      <w:pPr>
        <w:rPr>
          <w:rFonts w:ascii="Times" w:hAnsi="Times" w:cs="Sabon"/>
          <w:color w:val="000000"/>
        </w:rPr>
      </w:pPr>
    </w:p>
    <w:p w14:paraId="620D2D56" w14:textId="02A6DCAE" w:rsidR="00173404" w:rsidRDefault="00C85C10" w:rsidP="00173404">
      <w:pPr>
        <w:pStyle w:val="Heading2"/>
      </w:pPr>
      <w:bookmarkStart w:id="47" w:name="_Toc257278801"/>
      <w:r>
        <w:t>Works Cited</w:t>
      </w:r>
      <w:bookmarkEnd w:id="47"/>
    </w:p>
    <w:p w14:paraId="0EA39582"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Amaral V, Thompson EL, Bishop MJ, Raftos DA. (2012) The proteomes of Sydney rock oysters vary spatially according to exposure to acid sulfate runoff. Marine &amp; Freshwater Research. 63: 361-369.</w:t>
      </w:r>
    </w:p>
    <w:p w14:paraId="34AB5E6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Bräutigam A, Shrestha RP, Whitten D, Wilkerson CG, Carr KM, Froehlich JE, Weber APM. (2008) Low-coverage massively parallel pyrosequencing of cDNAs enables proteomics in non-model species: Comparison of a species-specific database generated by pyrosequencing with databases from related species for proteome analysis of pea chloroplast envelopes. Journal of Biotechnology Biotechnol. 136: 44-53.</w:t>
      </w:r>
    </w:p>
    <w:p w14:paraId="2D50E4B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Corporeau C, Vanderplancke G, Boulais M, Suquet M, Quéré C, Boudry P, Huvet A, Madec S. (2012) Proteomic identification of quality factors for oocytes in the Pacific oyster </w:t>
      </w:r>
      <w:r w:rsidRPr="00732DA8">
        <w:rPr>
          <w:rFonts w:ascii="Times" w:hAnsi="Times"/>
          <w:i/>
          <w:sz w:val="24"/>
        </w:rPr>
        <w:t>Crassostrea gigas</w:t>
      </w:r>
      <w:r w:rsidRPr="00732DA8">
        <w:rPr>
          <w:rFonts w:ascii="Times" w:hAnsi="Times"/>
          <w:sz w:val="24"/>
        </w:rPr>
        <w:t>. Journal of Proteomics. 75: 5554-5563.</w:t>
      </w:r>
    </w:p>
    <w:p w14:paraId="136317C6"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David E, Tanguy A, Pichavant K, Moraga D. (2005) Response of the Pacific oyster </w:t>
      </w:r>
      <w:r w:rsidRPr="00732DA8">
        <w:rPr>
          <w:rFonts w:ascii="Times" w:hAnsi="Times"/>
          <w:i/>
          <w:sz w:val="24"/>
        </w:rPr>
        <w:t xml:space="preserve">Crassostrea gigas </w:t>
      </w:r>
      <w:r w:rsidRPr="00732DA8">
        <w:rPr>
          <w:rFonts w:ascii="Times" w:hAnsi="Times"/>
          <w:sz w:val="24"/>
        </w:rPr>
        <w:t>to hypoxia exposure under experimental conditions. The FEBS Journal. 272: 5635-5652.</w:t>
      </w:r>
    </w:p>
    <w:p w14:paraId="5B93D1D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David E, Tanguy A, Moraga D. (2007) Peroxiredoxin 6 gene: A new physiological and genetic indicator of multiple environmental stress response in Pacific oyster </w:t>
      </w:r>
      <w:r w:rsidRPr="00732DA8">
        <w:rPr>
          <w:rFonts w:ascii="Times" w:hAnsi="Times"/>
          <w:i/>
          <w:sz w:val="24"/>
        </w:rPr>
        <w:t>Crassostrea gigas</w:t>
      </w:r>
      <w:r w:rsidRPr="00732DA8">
        <w:rPr>
          <w:rFonts w:ascii="Times" w:hAnsi="Times"/>
          <w:sz w:val="24"/>
        </w:rPr>
        <w:t>. Aquatic Toxicology. 84: 389-398.</w:t>
      </w:r>
    </w:p>
    <w:p w14:paraId="50E6B0F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Dheilly NM, Haynes PA, Raftos DA, Nair SV</w:t>
      </w:r>
      <w:r w:rsidRPr="00732DA8">
        <w:rPr>
          <w:rFonts w:ascii="Times" w:hAnsi="Times"/>
          <w:i/>
          <w:sz w:val="24"/>
        </w:rPr>
        <w:t xml:space="preserve">. </w:t>
      </w:r>
      <w:r w:rsidRPr="00732DA8">
        <w:rPr>
          <w:rFonts w:ascii="Times" w:hAnsi="Times"/>
          <w:sz w:val="24"/>
        </w:rPr>
        <w:t xml:space="preserve">(2012) Time course proteomic profiling of cellular repsonses to immunological challenge in the sea urchin, </w:t>
      </w:r>
      <w:r w:rsidRPr="00732DA8">
        <w:rPr>
          <w:rFonts w:ascii="Times" w:hAnsi="Times"/>
          <w:i/>
          <w:sz w:val="24"/>
        </w:rPr>
        <w:t>Heliocidaris erythrogramma</w:t>
      </w:r>
      <w:r w:rsidRPr="00732DA8">
        <w:rPr>
          <w:rFonts w:ascii="Times" w:hAnsi="Times"/>
          <w:sz w:val="24"/>
        </w:rPr>
        <w:t>. Developmental &amp; Comparative Immunology. 37: 243-256.</w:t>
      </w:r>
    </w:p>
    <w:p w14:paraId="3D20284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Dheilly NM, Lelong C, Huvet A, Favrel P</w:t>
      </w:r>
      <w:r w:rsidRPr="00732DA8">
        <w:rPr>
          <w:rFonts w:ascii="Times" w:hAnsi="Times"/>
          <w:i/>
          <w:sz w:val="24"/>
        </w:rPr>
        <w:t xml:space="preserve">. </w:t>
      </w:r>
      <w:r w:rsidRPr="00732DA8">
        <w:rPr>
          <w:rFonts w:ascii="Times" w:hAnsi="Times"/>
          <w:sz w:val="24"/>
        </w:rPr>
        <w:t>(2011) Development of a Pacific oyster (</w:t>
      </w:r>
      <w:r w:rsidRPr="00732DA8">
        <w:rPr>
          <w:rFonts w:ascii="Times" w:hAnsi="Times"/>
          <w:i/>
          <w:sz w:val="24"/>
        </w:rPr>
        <w:t>Crassostrea gigas</w:t>
      </w:r>
      <w:r w:rsidRPr="00732DA8">
        <w:rPr>
          <w:rFonts w:ascii="Times" w:hAnsi="Times"/>
          <w:sz w:val="24"/>
        </w:rPr>
        <w:t>) 31,918-feature microarray: identification of reference genes and tissue-enriched expression patterns. BMC Genomics. 12: 468.</w:t>
      </w:r>
    </w:p>
    <w:p w14:paraId="15B72F1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Dheilly NM, Raftos DA, Haynes PA, Smith LC, Nair SV. (2013) Shotgun proteomics of coelomic fluid from the purple sea urchin, </w:t>
      </w:r>
      <w:r w:rsidRPr="00732DA8">
        <w:rPr>
          <w:rFonts w:ascii="Times" w:hAnsi="Times"/>
          <w:i/>
          <w:sz w:val="24"/>
        </w:rPr>
        <w:t>Strongylocentrotus purpuratus</w:t>
      </w:r>
      <w:r w:rsidRPr="00732DA8">
        <w:rPr>
          <w:rFonts w:ascii="Times" w:hAnsi="Times"/>
          <w:sz w:val="24"/>
        </w:rPr>
        <w:t>. Developmental &amp; Comparative Immunology. In press.</w:t>
      </w:r>
    </w:p>
    <w:p w14:paraId="2F96A81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Dineshram R, Thiyagarajan V, Lane A, Ziniu Y, Xiao S, Leung PTY. (2013) Elevated CO</w:t>
      </w:r>
      <w:r w:rsidRPr="00732DA8">
        <w:rPr>
          <w:rFonts w:ascii="Times" w:hAnsi="Times"/>
          <w:sz w:val="24"/>
          <w:vertAlign w:val="subscript"/>
        </w:rPr>
        <w:t>2</w:t>
      </w:r>
      <w:r w:rsidRPr="00732DA8">
        <w:rPr>
          <w:rFonts w:ascii="Times" w:hAnsi="Times"/>
          <w:sz w:val="24"/>
        </w:rPr>
        <w:t xml:space="preserve"> alters larval proteome and its phosphorylation status in the commercial oyster, </w:t>
      </w:r>
      <w:r w:rsidRPr="00732DA8">
        <w:rPr>
          <w:rFonts w:ascii="Times" w:hAnsi="Times"/>
          <w:i/>
          <w:sz w:val="24"/>
        </w:rPr>
        <w:t>Crassostrea hongkongensis</w:t>
      </w:r>
      <w:r w:rsidRPr="00732DA8">
        <w:rPr>
          <w:rFonts w:ascii="Times" w:hAnsi="Times"/>
          <w:sz w:val="24"/>
        </w:rPr>
        <w:t>. Marine Biology. In press.</w:t>
      </w:r>
    </w:p>
    <w:p w14:paraId="41BBB50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Dineshram R, Wong KKW, Xiao S, Yu Z, Qian PY, Thiyagarajan V</w:t>
      </w:r>
      <w:r w:rsidRPr="00732DA8">
        <w:rPr>
          <w:rFonts w:ascii="Times" w:hAnsi="Times"/>
          <w:i/>
          <w:sz w:val="24"/>
        </w:rPr>
        <w:t>.</w:t>
      </w:r>
      <w:r w:rsidRPr="00732DA8">
        <w:rPr>
          <w:rFonts w:ascii="Times" w:hAnsi="Times"/>
          <w:sz w:val="24"/>
        </w:rPr>
        <w:t xml:space="preserve"> (2012) Analysis of Pacific oyster larval proteome and its response to high-CO</w:t>
      </w:r>
      <w:r w:rsidRPr="00732DA8">
        <w:rPr>
          <w:rFonts w:ascii="Times" w:hAnsi="Times"/>
          <w:sz w:val="24"/>
          <w:vertAlign w:val="subscript"/>
        </w:rPr>
        <w:t>2</w:t>
      </w:r>
      <w:r w:rsidRPr="00732DA8">
        <w:rPr>
          <w:rFonts w:ascii="Times" w:hAnsi="Times"/>
          <w:sz w:val="24"/>
        </w:rPr>
        <w:t>. Marine Pollution Bulletin. 64: 2160-2167.</w:t>
      </w:r>
    </w:p>
    <w:p w14:paraId="591BACB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Eng JK, McCormack AL, Yates JR</w:t>
      </w:r>
      <w:r w:rsidRPr="00732DA8">
        <w:rPr>
          <w:rFonts w:ascii="Times" w:hAnsi="Times"/>
          <w:i/>
          <w:sz w:val="24"/>
        </w:rPr>
        <w:t>.</w:t>
      </w:r>
      <w:r w:rsidRPr="00732DA8">
        <w:rPr>
          <w:rFonts w:ascii="Times" w:hAnsi="Times"/>
          <w:sz w:val="24"/>
        </w:rPr>
        <w:t xml:space="preserve"> (1994) An Approach to Correlate Tandem Mass Spectral Data of Peptides with Amino Acid Sequences in a Protein Database. Journal of the American Society for Mass Spectrometry. 5: 976-989. </w:t>
      </w:r>
    </w:p>
    <w:p w14:paraId="15BEFCD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Fleury E, Huvet A. (2012) Microarray analysis highlights immune response of Pacific oysters as a determinant of resistance to summer mortality. Marine Biotechnology. 14: 203-217. </w:t>
      </w:r>
    </w:p>
    <w:p w14:paraId="5AF7B68D"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Florens L, Carozza MJ, Swanson SK, Fournier M, Coleman MK, Workman JL, Washburn MP. (2006) Analyzing Chromatin Remodeling Complexes Using Shotgun Proteomics and Normalized Spectral Abundance Factors. Methods. 4: 303-311.</w:t>
      </w:r>
    </w:p>
    <w:p w14:paraId="6C231A42"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Griffitt RJ, Chandler GT, Greig TW, Quattro JM. (2006) Cathepsin B and glutahione peroxidase show differing transcriptional responses in the grass shrimp, </w:t>
      </w:r>
      <w:r w:rsidRPr="00732DA8">
        <w:rPr>
          <w:rFonts w:ascii="Times" w:hAnsi="Times"/>
          <w:i/>
          <w:sz w:val="24"/>
        </w:rPr>
        <w:t>Palaemonetes pugio</w:t>
      </w:r>
      <w:r w:rsidRPr="00732DA8">
        <w:rPr>
          <w:rFonts w:ascii="Times" w:hAnsi="Times"/>
          <w:sz w:val="24"/>
        </w:rPr>
        <w:t xml:space="preserve"> following exposure to three xenobiotics. Environmental Science &amp; Technology. 40: 3640-3645. </w:t>
      </w:r>
    </w:p>
    <w:p w14:paraId="19B34A6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Hogstrand C, Balesaria S, Glover CN. (2002) Application of genomics and proteomics for study of the integrated response to zinc exposure in a non-model fish species, the rainbow trout. Comparative Biochemistry and Physiology Part B: Biochemistry and Molecular Biology. 133: 523-535. </w:t>
      </w:r>
    </w:p>
    <w:p w14:paraId="0E3AA8D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Huan P, Wang H, Dong B, Liu B</w:t>
      </w:r>
      <w:r w:rsidRPr="00732DA8">
        <w:rPr>
          <w:rFonts w:ascii="Times" w:hAnsi="Times"/>
          <w:i/>
          <w:sz w:val="24"/>
        </w:rPr>
        <w:t>.</w:t>
      </w:r>
      <w:r w:rsidRPr="00732DA8">
        <w:rPr>
          <w:rFonts w:ascii="Times" w:hAnsi="Times"/>
          <w:sz w:val="24"/>
        </w:rPr>
        <w:t xml:space="preserve"> (2012) Identification of differentially expressed proteins involved in the early larval development of the Pacific oyster </w:t>
      </w:r>
      <w:r w:rsidRPr="00732DA8">
        <w:rPr>
          <w:rFonts w:ascii="Times" w:hAnsi="Times"/>
          <w:i/>
          <w:sz w:val="24"/>
        </w:rPr>
        <w:t>Crassostrea gigas</w:t>
      </w:r>
      <w:r w:rsidRPr="00732DA8">
        <w:rPr>
          <w:rFonts w:ascii="Times" w:hAnsi="Times"/>
          <w:sz w:val="24"/>
        </w:rPr>
        <w:t xml:space="preserve">. Journal of Proteomics. 75: 3855-3865. </w:t>
      </w:r>
    </w:p>
    <w:p w14:paraId="7B6BFBE5"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Huang DW, Sherman BT, Lempicki RA. (2009a) Systematic and integrative analysis of large gene lists using DAVID Bioinformatics Resources.  Nature Protocols. 4: 44-57.</w:t>
      </w:r>
    </w:p>
    <w:p w14:paraId="78AB7E7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Huang DW, Sherman BT, Lempicki RA</w:t>
      </w:r>
      <w:r w:rsidRPr="00732DA8">
        <w:rPr>
          <w:rFonts w:ascii="Times" w:hAnsi="Times"/>
          <w:i/>
          <w:sz w:val="24"/>
        </w:rPr>
        <w:t>.</w:t>
      </w:r>
      <w:r w:rsidRPr="00732DA8">
        <w:rPr>
          <w:rFonts w:ascii="Times" w:hAnsi="Times"/>
          <w:sz w:val="24"/>
        </w:rPr>
        <w:t xml:space="preserve"> (2009b) Bioinformatics enrichment tools: paths toward the comprehensive functional analysis of large gene lists. Nucleic Acids Research. 37: 1-13.</w:t>
      </w:r>
    </w:p>
    <w:p w14:paraId="661EB7CC"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Kültz D, Somero GN. (1996) Differences in protein patterns of gill epithelial cells of the fish </w:t>
      </w:r>
      <w:r w:rsidRPr="00732DA8">
        <w:rPr>
          <w:rFonts w:ascii="Times" w:hAnsi="Times"/>
          <w:i/>
          <w:sz w:val="24"/>
        </w:rPr>
        <w:t xml:space="preserve">Gillichthys mirabilis </w:t>
      </w:r>
      <w:r w:rsidRPr="00732DA8">
        <w:rPr>
          <w:rFonts w:ascii="Times" w:hAnsi="Times"/>
          <w:sz w:val="24"/>
        </w:rPr>
        <w:t xml:space="preserve">after osmotic and thermal acclimation. Journal of Comparative Physiology B: Biochemical, Systemic, and Environmental Physiology. 166: 88-100. </w:t>
      </w:r>
    </w:p>
    <w:p w14:paraId="437E0BF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Liu F, Wang W (2012) Proteome pattern in oysters as a diagnostic tool for metal pollution. Journal of Hazardous Materials. 239-240: 241-248.</w:t>
      </w:r>
    </w:p>
    <w:p w14:paraId="559DCA10"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Lockwood BL, Sanders JG, Somero GN</w:t>
      </w:r>
      <w:r w:rsidRPr="00732DA8">
        <w:rPr>
          <w:rFonts w:ascii="Times" w:hAnsi="Times"/>
          <w:i/>
          <w:sz w:val="24"/>
        </w:rPr>
        <w:t>.</w:t>
      </w:r>
      <w:r w:rsidRPr="00732DA8">
        <w:rPr>
          <w:rFonts w:ascii="Times" w:hAnsi="Times"/>
          <w:sz w:val="24"/>
        </w:rPr>
        <w:t xml:space="preserve"> (2010) Transcriptomic responses to heat stress in invasive and native blue mussels (genus </w:t>
      </w:r>
      <w:r w:rsidRPr="00732DA8">
        <w:rPr>
          <w:rFonts w:ascii="Times" w:hAnsi="Times"/>
          <w:i/>
          <w:sz w:val="24"/>
        </w:rPr>
        <w:t>Mytilus</w:t>
      </w:r>
      <w:r w:rsidRPr="00732DA8">
        <w:rPr>
          <w:rFonts w:ascii="Times" w:hAnsi="Times"/>
          <w:sz w:val="24"/>
        </w:rPr>
        <w:t xml:space="preserve">): molecular correlates of invasive success. The Journal of Experimental Biology. 213: 3548-3558. </w:t>
      </w:r>
    </w:p>
    <w:p w14:paraId="215D9EA8"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Meistertzheim AL, Tanguy A, Moraga D, Thébault MT. (2007) Identification of differentially expressed genes of the Pacific oyster </w:t>
      </w:r>
      <w:r w:rsidRPr="00732DA8">
        <w:rPr>
          <w:rFonts w:ascii="Times" w:hAnsi="Times"/>
          <w:i/>
          <w:sz w:val="24"/>
        </w:rPr>
        <w:t xml:space="preserve">Crassostrea gigas </w:t>
      </w:r>
      <w:r w:rsidRPr="00732DA8">
        <w:rPr>
          <w:rFonts w:ascii="Times" w:hAnsi="Times"/>
          <w:sz w:val="24"/>
        </w:rPr>
        <w:t>exposed to prolonged thermal stress. The FEBS Journal. 274: 6392-6402.</w:t>
      </w:r>
    </w:p>
    <w:p w14:paraId="1F9C5A8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Morris RM, Nunn BL, Frazer C, Goodlett DR, Ting YS, Rocap G. (2010) Comparative metaproteomics reveals ocean-scale shifts in microbial nutrient utilization and energy transduction. The ISME Journal. 4: 673-685. </w:t>
      </w:r>
    </w:p>
    <w:p w14:paraId="4C49385E"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Muralidharan S, Thompson E, Raftos D, Birch G, Haynes PA</w:t>
      </w:r>
      <w:r w:rsidRPr="00732DA8">
        <w:rPr>
          <w:rFonts w:ascii="Times" w:hAnsi="Times"/>
          <w:i/>
          <w:sz w:val="24"/>
        </w:rPr>
        <w:t>.</w:t>
      </w:r>
      <w:r w:rsidRPr="00732DA8">
        <w:rPr>
          <w:rFonts w:ascii="Times" w:hAnsi="Times"/>
          <w:sz w:val="24"/>
        </w:rPr>
        <w:t xml:space="preserve"> (2012) Quantitative proteomics of heavy metal stress responses in Sydney rock oysters. Proteomics. 12: 906-921. </w:t>
      </w:r>
    </w:p>
    <w:p w14:paraId="300453C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Nesvizhskii AI, Keller A, Kolker E, Aebersold R</w:t>
      </w:r>
      <w:r w:rsidRPr="00732DA8">
        <w:rPr>
          <w:rFonts w:ascii="Times" w:hAnsi="Times"/>
          <w:i/>
          <w:sz w:val="24"/>
        </w:rPr>
        <w:t>.</w:t>
      </w:r>
      <w:r w:rsidRPr="00732DA8">
        <w:rPr>
          <w:rFonts w:ascii="Times" w:hAnsi="Times"/>
          <w:sz w:val="24"/>
        </w:rPr>
        <w:t xml:space="preserve"> (2003) A Statistical Model for Identifying Proteins by Tandem Mass Spectrometry. Analytical Chemistry. 75: 4646-4658. </w:t>
      </w:r>
    </w:p>
    <w:p w14:paraId="310DD24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color w:val="auto"/>
          <w:sz w:val="24"/>
        </w:rPr>
        <w:t>Oliveros JC (2007) VENNY. An interactive tool for comparing lists with Venn Diagrams.</w:t>
      </w:r>
      <w:hyperlink r:id="rId22">
        <w:r w:rsidRPr="00732DA8">
          <w:rPr>
            <w:rFonts w:ascii="Times" w:hAnsi="Times"/>
            <w:color w:val="auto"/>
            <w:sz w:val="24"/>
          </w:rPr>
          <w:t xml:space="preserve"> </w:t>
        </w:r>
      </w:hyperlink>
      <w:hyperlink r:id="rId23">
        <w:r w:rsidRPr="00732DA8">
          <w:rPr>
            <w:rFonts w:ascii="Times" w:hAnsi="Times"/>
            <w:color w:val="auto"/>
            <w:sz w:val="24"/>
          </w:rPr>
          <w:t>http://bioinfogp.cnb.csic.es/tools/venny/index.html</w:t>
        </w:r>
      </w:hyperlink>
      <w:r w:rsidRPr="00732DA8">
        <w:rPr>
          <w:rFonts w:ascii="Times" w:hAnsi="Times"/>
          <w:color w:val="auto"/>
          <w:sz w:val="24"/>
        </w:rPr>
        <w:t xml:space="preserve"> (last accessed 29 October 2012).</w:t>
      </w:r>
    </w:p>
    <w:p w14:paraId="7A48CC5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Papakostas S, Vasemăgi A, Văhă JP, Himberg M, Peil L, Primmer CR</w:t>
      </w:r>
      <w:r w:rsidRPr="00732DA8">
        <w:rPr>
          <w:rFonts w:ascii="Times" w:hAnsi="Times"/>
          <w:i/>
          <w:sz w:val="24"/>
        </w:rPr>
        <w:t>.</w:t>
      </w:r>
      <w:r w:rsidRPr="00732DA8">
        <w:rPr>
          <w:rFonts w:ascii="Times" w:hAnsi="Times"/>
          <w:sz w:val="24"/>
        </w:rPr>
        <w:t xml:space="preserve"> (2012) A proteomics approach reveals divergent molecular responses to salinity in populations of European whitefish (</w:t>
      </w:r>
      <w:r w:rsidRPr="00732DA8">
        <w:rPr>
          <w:rFonts w:ascii="Times" w:hAnsi="Times"/>
          <w:i/>
          <w:sz w:val="24"/>
        </w:rPr>
        <w:t>Coregonus lavaretus</w:t>
      </w:r>
      <w:r w:rsidRPr="00732DA8">
        <w:rPr>
          <w:rFonts w:ascii="Times" w:hAnsi="Times"/>
          <w:sz w:val="24"/>
        </w:rPr>
        <w:t xml:space="preserve">). Molecular Ecology. 21: 3516-3530. </w:t>
      </w:r>
    </w:p>
    <w:p w14:paraId="55D47B60"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Philipp EER, Kraemer L, Melzner F, Poustka AJ, Thieme S, Findeisen U, Schreiber S, Rosenstiel P</w:t>
      </w:r>
      <w:r w:rsidRPr="00732DA8">
        <w:rPr>
          <w:rFonts w:ascii="Times" w:hAnsi="Times"/>
          <w:i/>
          <w:sz w:val="24"/>
        </w:rPr>
        <w:t>.</w:t>
      </w:r>
      <w:r w:rsidRPr="00732DA8">
        <w:rPr>
          <w:rFonts w:ascii="Times" w:hAnsi="Times"/>
          <w:sz w:val="24"/>
        </w:rPr>
        <w:t xml:space="preserve"> (2012) Massively Parallel RNA Sequencing Identifies a Complex Immune Gene Repertoire in the lophotrochozoan </w:t>
      </w:r>
      <w:r w:rsidRPr="00732DA8">
        <w:rPr>
          <w:rFonts w:ascii="Times" w:hAnsi="Times"/>
          <w:i/>
          <w:sz w:val="24"/>
        </w:rPr>
        <w:t>Mytilus edulis</w:t>
      </w:r>
      <w:r w:rsidRPr="00732DA8">
        <w:rPr>
          <w:rFonts w:ascii="Times" w:hAnsi="Times"/>
          <w:sz w:val="24"/>
        </w:rPr>
        <w:t xml:space="preserve">. PLoS One. 7: e33091. </w:t>
      </w:r>
    </w:p>
    <w:p w14:paraId="538DF44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Polato NR, Vera JC, Baums IB</w:t>
      </w:r>
      <w:r w:rsidRPr="00732DA8">
        <w:rPr>
          <w:rFonts w:ascii="Times" w:hAnsi="Times"/>
          <w:i/>
          <w:sz w:val="24"/>
        </w:rPr>
        <w:t>.</w:t>
      </w:r>
      <w:r w:rsidRPr="00732DA8">
        <w:rPr>
          <w:rFonts w:ascii="Times" w:hAnsi="Times"/>
          <w:sz w:val="24"/>
        </w:rPr>
        <w:t xml:space="preserve"> (2011) Gene Discovery in the Threatened Elkhorn Coral: 454 Sequencing of the </w:t>
      </w:r>
      <w:r w:rsidRPr="00732DA8">
        <w:rPr>
          <w:rFonts w:ascii="Times" w:hAnsi="Times"/>
          <w:i/>
          <w:sz w:val="24"/>
        </w:rPr>
        <w:t xml:space="preserve">Acropora palmata </w:t>
      </w:r>
      <w:r w:rsidRPr="00732DA8">
        <w:rPr>
          <w:rFonts w:ascii="Times" w:hAnsi="Times"/>
          <w:sz w:val="24"/>
        </w:rPr>
        <w:t>Transcriptome. PLoS One 6: e28634.</w:t>
      </w:r>
    </w:p>
    <w:p w14:paraId="07E04E6A" w14:textId="77777777" w:rsidR="00732DA8" w:rsidRPr="00732DA8" w:rsidRDefault="00732DA8" w:rsidP="00732DA8">
      <w:pPr>
        <w:pStyle w:val="normal0"/>
        <w:spacing w:line="240" w:lineRule="auto"/>
        <w:ind w:left="720" w:hanging="720"/>
        <w:rPr>
          <w:rFonts w:ascii="Times" w:hAnsi="Times"/>
          <w:color w:val="auto"/>
          <w:sz w:val="24"/>
        </w:rPr>
      </w:pPr>
      <w:r w:rsidRPr="00732DA8">
        <w:rPr>
          <w:rFonts w:ascii="Times" w:hAnsi="Times"/>
          <w:sz w:val="24"/>
        </w:rPr>
        <w:t>R Development Core Team (2009) R: A language and environment for statistical computing.  R Foundation for Statistical Computing, Vienna, Austria. ISBN 3-900051-07-0, URL</w:t>
      </w:r>
      <w:hyperlink r:id="rId24">
        <w:r w:rsidRPr="00732DA8">
          <w:rPr>
            <w:rFonts w:ascii="Times" w:hAnsi="Times"/>
            <w:sz w:val="24"/>
          </w:rPr>
          <w:t xml:space="preserve"> </w:t>
        </w:r>
      </w:hyperlink>
      <w:hyperlink r:id="rId25">
        <w:r w:rsidRPr="00732DA8">
          <w:rPr>
            <w:rFonts w:ascii="Times" w:hAnsi="Times"/>
            <w:color w:val="auto"/>
            <w:sz w:val="24"/>
          </w:rPr>
          <w:t>http://www.R-project.org</w:t>
        </w:r>
      </w:hyperlink>
      <w:r w:rsidRPr="00732DA8">
        <w:rPr>
          <w:rFonts w:ascii="Times" w:hAnsi="Times"/>
          <w:color w:val="auto"/>
          <w:sz w:val="24"/>
        </w:rPr>
        <w:t>.</w:t>
      </w:r>
    </w:p>
    <w:p w14:paraId="432CE218"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color w:val="auto"/>
          <w:sz w:val="24"/>
        </w:rPr>
        <w:t xml:space="preserve">Simonian M, Nair SV, Neil JA, Raftos DA. (2009) Proteomic clues to the identification of QX disease-resistance biomarkers in selectively bred Sydney rock oysters, </w:t>
      </w:r>
      <w:r w:rsidRPr="00732DA8">
        <w:rPr>
          <w:rFonts w:ascii="Times" w:hAnsi="Times"/>
          <w:i/>
          <w:color w:val="auto"/>
          <w:sz w:val="24"/>
        </w:rPr>
        <w:t>Saccostrea glomerata</w:t>
      </w:r>
      <w:r w:rsidRPr="00732DA8">
        <w:rPr>
          <w:rFonts w:ascii="Times" w:hAnsi="Times"/>
          <w:color w:val="auto"/>
          <w:sz w:val="24"/>
        </w:rPr>
        <w:t>. Journal of Proteomics. 73: 209-217.</w:t>
      </w:r>
    </w:p>
    <w:p w14:paraId="2BEA854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Stumpp M, Dupont S, Thorndyke MC, Melzner F</w:t>
      </w:r>
      <w:r w:rsidRPr="00732DA8">
        <w:rPr>
          <w:rFonts w:ascii="Times" w:hAnsi="Times"/>
          <w:i/>
          <w:sz w:val="24"/>
        </w:rPr>
        <w:t>.</w:t>
      </w:r>
      <w:r w:rsidRPr="00732DA8">
        <w:rPr>
          <w:rFonts w:ascii="Times" w:hAnsi="Times"/>
          <w:sz w:val="24"/>
        </w:rPr>
        <w:t xml:space="preserve"> (2011) CO</w:t>
      </w:r>
      <w:r w:rsidRPr="00732DA8">
        <w:rPr>
          <w:rFonts w:ascii="Times" w:hAnsi="Times"/>
          <w:sz w:val="24"/>
          <w:vertAlign w:val="subscript"/>
        </w:rPr>
        <w:t>2</w:t>
      </w:r>
      <w:r w:rsidRPr="00732DA8">
        <w:rPr>
          <w:rFonts w:ascii="Times" w:hAnsi="Times"/>
          <w:sz w:val="24"/>
        </w:rPr>
        <w:t xml:space="preserve"> induced seawater acidification impacts sea urchin larval development II: Gene expression patterns in pluteus larvae. Comparative Biochemistry and Physiology Part A: Molecular &amp; Integrative Physiology. 160: 320-330.</w:t>
      </w:r>
    </w:p>
    <w:p w14:paraId="5F08482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Supek F, Bošnjak M, Škunca N, Šmuc T</w:t>
      </w:r>
      <w:r w:rsidRPr="00732DA8">
        <w:rPr>
          <w:rFonts w:ascii="Times" w:hAnsi="Times"/>
          <w:i/>
          <w:sz w:val="24"/>
        </w:rPr>
        <w:t>.</w:t>
      </w:r>
      <w:r w:rsidRPr="00732DA8">
        <w:rPr>
          <w:rFonts w:ascii="Times" w:hAnsi="Times"/>
          <w:sz w:val="24"/>
        </w:rPr>
        <w:t xml:space="preserve"> (2011) REVIGO summarizes and visualizes long lists of Gene Ontology terms. PLoS One. 6: e21800. </w:t>
      </w:r>
    </w:p>
    <w:p w14:paraId="5BC55CC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Tanguy A, Boutet I, Laroche J, Moraga D</w:t>
      </w:r>
      <w:r w:rsidRPr="00732DA8">
        <w:rPr>
          <w:rFonts w:ascii="Times" w:hAnsi="Times"/>
          <w:i/>
          <w:sz w:val="24"/>
        </w:rPr>
        <w:t>.</w:t>
      </w:r>
      <w:r w:rsidRPr="00732DA8">
        <w:rPr>
          <w:rFonts w:ascii="Times" w:hAnsi="Times"/>
          <w:sz w:val="24"/>
        </w:rPr>
        <w:t xml:space="preserve"> (2005) Molecular identification and expression study of differentially regulated genes in the Pacific oyster </w:t>
      </w:r>
      <w:r w:rsidRPr="00732DA8">
        <w:rPr>
          <w:rFonts w:ascii="Times" w:hAnsi="Times"/>
          <w:i/>
          <w:sz w:val="24"/>
        </w:rPr>
        <w:t xml:space="preserve">Crassostrea gigas </w:t>
      </w:r>
      <w:r w:rsidRPr="00732DA8">
        <w:rPr>
          <w:rFonts w:ascii="Times" w:hAnsi="Times"/>
          <w:sz w:val="24"/>
        </w:rPr>
        <w:t>in response to pesticide exposure. The FEBS Journal. 272: 390-403.</w:t>
      </w:r>
    </w:p>
    <w:p w14:paraId="3D844EB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Thompson EL, Taylor DA, Nair SV, Birch G, Haynes PA, Raftos DA. (2011) A proteomic analysis of the effects of metal contamination on Sydney Rock Oyster (</w:t>
      </w:r>
      <w:r w:rsidRPr="00732DA8">
        <w:rPr>
          <w:rFonts w:ascii="Times" w:hAnsi="Times"/>
          <w:i/>
          <w:sz w:val="24"/>
        </w:rPr>
        <w:t>Saccostrea glomerata</w:t>
      </w:r>
      <w:r w:rsidRPr="00732DA8">
        <w:rPr>
          <w:rFonts w:ascii="Times" w:hAnsi="Times"/>
          <w:sz w:val="24"/>
        </w:rPr>
        <w:t>) haemolymph. Aquatic Toxicology. 103: 241-249.</w:t>
      </w:r>
    </w:p>
    <w:p w14:paraId="17CCFDA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Thompson EL, Taylor DA, Nair SV, Birch G, Hose GC, Raftos DA. (2012a) Proteomic analysis of Sydney Rock oysters (</w:t>
      </w:r>
      <w:r w:rsidRPr="00732DA8">
        <w:rPr>
          <w:rFonts w:ascii="Times" w:hAnsi="Times"/>
          <w:i/>
          <w:sz w:val="24"/>
        </w:rPr>
        <w:t>Saccostrea glomerata</w:t>
      </w:r>
      <w:r w:rsidRPr="00732DA8">
        <w:rPr>
          <w:rFonts w:ascii="Times" w:hAnsi="Times"/>
          <w:sz w:val="24"/>
        </w:rPr>
        <w:t>) exposed to metal contamination in the field. Environmental Pollution. 170: 102-112.</w:t>
      </w:r>
    </w:p>
    <w:p w14:paraId="2E2BBF78" w14:textId="77777777" w:rsidR="00732DA8" w:rsidRPr="00732DA8" w:rsidRDefault="00732DA8" w:rsidP="0052729A">
      <w:pPr>
        <w:pStyle w:val="normal0"/>
        <w:spacing w:line="240" w:lineRule="auto"/>
        <w:ind w:left="720" w:hanging="720"/>
        <w:rPr>
          <w:rFonts w:ascii="Times" w:hAnsi="Times"/>
          <w:sz w:val="24"/>
        </w:rPr>
      </w:pPr>
      <w:r w:rsidRPr="00732DA8">
        <w:rPr>
          <w:rFonts w:ascii="Times" w:hAnsi="Times"/>
          <w:sz w:val="24"/>
        </w:rPr>
        <w:t>Thompson EL, Taylor DA, Nair SV, Birch G, Haynes PA, Raftos DA</w:t>
      </w:r>
      <w:r w:rsidRPr="00732DA8">
        <w:rPr>
          <w:rFonts w:ascii="Times" w:hAnsi="Times"/>
          <w:i/>
          <w:sz w:val="24"/>
        </w:rPr>
        <w:t>.</w:t>
      </w:r>
      <w:r w:rsidRPr="00732DA8">
        <w:rPr>
          <w:rFonts w:ascii="Times" w:hAnsi="Times"/>
          <w:sz w:val="24"/>
        </w:rPr>
        <w:t xml:space="preserve"> (2012b) Proteomic discovery of biomarkers of metal contamination in Sydney Rock oysters (</w:t>
      </w:r>
      <w:r w:rsidRPr="00732DA8">
        <w:rPr>
          <w:rFonts w:ascii="Times" w:hAnsi="Times"/>
          <w:i/>
          <w:sz w:val="24"/>
        </w:rPr>
        <w:t>Saccostrea glomerata</w:t>
      </w:r>
      <w:r w:rsidRPr="00732DA8">
        <w:rPr>
          <w:rFonts w:ascii="Times" w:hAnsi="Times"/>
          <w:sz w:val="24"/>
        </w:rPr>
        <w:t>). Aquatic Toxicology. 109: 202-212.</w:t>
      </w:r>
    </w:p>
    <w:p w14:paraId="5F5D233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Todgham AE, Hofmann GE. (2009) Transcriptomic response of sea urchin larvae </w:t>
      </w:r>
      <w:r w:rsidRPr="00732DA8">
        <w:rPr>
          <w:rFonts w:ascii="Times" w:hAnsi="Times"/>
          <w:i/>
          <w:sz w:val="24"/>
        </w:rPr>
        <w:t xml:space="preserve">Strongylocentrotus purpuratus </w:t>
      </w:r>
      <w:r w:rsidRPr="00732DA8">
        <w:rPr>
          <w:rFonts w:ascii="Times" w:hAnsi="Times"/>
          <w:sz w:val="24"/>
        </w:rPr>
        <w:t>to CO</w:t>
      </w:r>
      <w:r w:rsidRPr="00732DA8">
        <w:rPr>
          <w:rFonts w:ascii="Times" w:hAnsi="Times"/>
          <w:sz w:val="24"/>
          <w:vertAlign w:val="subscript"/>
        </w:rPr>
        <w:t>2</w:t>
      </w:r>
      <w:r w:rsidRPr="00732DA8">
        <w:rPr>
          <w:rFonts w:ascii="Times" w:hAnsi="Times"/>
          <w:sz w:val="24"/>
        </w:rPr>
        <w:t xml:space="preserve">-driven seawater acidification. Journal of Experimental Biology. 212: 2579-2594. </w:t>
      </w:r>
    </w:p>
    <w:p w14:paraId="131D509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Tomanek L, Zuzow MJ, Ivanina AV, Beniash E, Sokolova IM</w:t>
      </w:r>
      <w:r w:rsidRPr="00732DA8">
        <w:rPr>
          <w:rFonts w:ascii="Times" w:hAnsi="Times"/>
          <w:i/>
          <w:sz w:val="24"/>
        </w:rPr>
        <w:t>.</w:t>
      </w:r>
      <w:r w:rsidRPr="00732DA8">
        <w:rPr>
          <w:rFonts w:ascii="Times" w:hAnsi="Times"/>
          <w:sz w:val="24"/>
        </w:rPr>
        <w:t xml:space="preserve"> (2011) Proteomic response to elevated P</w:t>
      </w:r>
      <w:r w:rsidRPr="00732DA8">
        <w:rPr>
          <w:rFonts w:ascii="Times" w:hAnsi="Times"/>
          <w:sz w:val="24"/>
          <w:vertAlign w:val="subscript"/>
        </w:rPr>
        <w:t>CO2</w:t>
      </w:r>
      <w:r w:rsidRPr="00732DA8">
        <w:rPr>
          <w:rFonts w:ascii="Times" w:hAnsi="Times"/>
          <w:sz w:val="24"/>
        </w:rPr>
        <w:t xml:space="preserve"> level in eastern oysters, </w:t>
      </w:r>
      <w:r w:rsidRPr="00732DA8">
        <w:rPr>
          <w:rFonts w:ascii="Times" w:hAnsi="Times"/>
          <w:i/>
          <w:sz w:val="24"/>
        </w:rPr>
        <w:t>Crassostrea virginica</w:t>
      </w:r>
      <w:r w:rsidRPr="00732DA8">
        <w:rPr>
          <w:rFonts w:ascii="Times" w:hAnsi="Times"/>
          <w:sz w:val="24"/>
        </w:rPr>
        <w:t xml:space="preserve">: evidence for oxidative stress. Journal of Experimental Biology. 214: 1836-1844. </w:t>
      </w:r>
    </w:p>
    <w:p w14:paraId="66A9BFF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Wang S, Peatman E, Hong L, </w:t>
      </w:r>
      <w:r w:rsidRPr="00732DA8">
        <w:rPr>
          <w:rFonts w:ascii="Times" w:hAnsi="Times"/>
          <w:i/>
          <w:sz w:val="24"/>
        </w:rPr>
        <w:t>et al</w:t>
      </w:r>
      <w:r w:rsidRPr="00732DA8">
        <w:rPr>
          <w:rFonts w:ascii="Times" w:hAnsi="Times"/>
          <w:sz w:val="24"/>
        </w:rPr>
        <w:t>. (2010) Microarray analysis of gene expression in eastern oyster (</w:t>
      </w:r>
      <w:r w:rsidRPr="00732DA8">
        <w:rPr>
          <w:rFonts w:ascii="Times" w:hAnsi="Times"/>
          <w:i/>
          <w:sz w:val="24"/>
        </w:rPr>
        <w:t>Crassostrea virginica</w:t>
      </w:r>
      <w:r w:rsidRPr="00732DA8">
        <w:rPr>
          <w:rFonts w:ascii="Times" w:hAnsi="Times"/>
          <w:sz w:val="24"/>
        </w:rPr>
        <w:t>) reveals a novel combination of antimicrobial and oxidative stress host responses after dermo (</w:t>
      </w:r>
      <w:r w:rsidRPr="00732DA8">
        <w:rPr>
          <w:rFonts w:ascii="Times" w:hAnsi="Times"/>
          <w:i/>
          <w:sz w:val="24"/>
        </w:rPr>
        <w:t>Perkinsus marinus</w:t>
      </w:r>
      <w:r w:rsidRPr="00732DA8">
        <w:rPr>
          <w:rFonts w:ascii="Times" w:hAnsi="Times"/>
          <w:sz w:val="24"/>
        </w:rPr>
        <w:t>) challenge. Fish &amp; Shellfish Immunology. 29: 921-929.</w:t>
      </w:r>
    </w:p>
    <w:p w14:paraId="19366463"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Yates JR, Ruse CI, Nakorchevsky A</w:t>
      </w:r>
      <w:r w:rsidRPr="00732DA8">
        <w:rPr>
          <w:rFonts w:ascii="Times" w:hAnsi="Times"/>
          <w:i/>
          <w:sz w:val="24"/>
        </w:rPr>
        <w:t>.</w:t>
      </w:r>
      <w:r w:rsidRPr="00732DA8">
        <w:rPr>
          <w:rFonts w:ascii="Times" w:hAnsi="Times"/>
          <w:sz w:val="24"/>
        </w:rPr>
        <w:t xml:space="preserve"> (2009) Proteomics by Mass Spectrometry: Approaches, Advances, and Applications. Annual Review of Biomedical Engineering. 11: 49-79. </w:t>
      </w:r>
    </w:p>
    <w:p w14:paraId="32A5686B" w14:textId="56B5F4E4" w:rsidR="00732DA8" w:rsidRPr="00732DA8" w:rsidRDefault="00732DA8" w:rsidP="0052729A">
      <w:pPr>
        <w:ind w:left="720" w:hanging="720"/>
        <w:rPr>
          <w:rFonts w:ascii="Times" w:hAnsi="Times"/>
        </w:rPr>
      </w:pPr>
      <w:r w:rsidRPr="00732DA8">
        <w:rPr>
          <w:rFonts w:ascii="Times" w:hAnsi="Times"/>
        </w:rPr>
        <w:t xml:space="preserve">Zhang G, Fang X, Guo X, </w:t>
      </w:r>
      <w:r w:rsidRPr="00732DA8">
        <w:rPr>
          <w:rFonts w:ascii="Times" w:hAnsi="Times"/>
          <w:i/>
        </w:rPr>
        <w:t>et al.</w:t>
      </w:r>
      <w:r w:rsidRPr="00732DA8">
        <w:rPr>
          <w:rFonts w:ascii="Times" w:hAnsi="Times"/>
        </w:rPr>
        <w:t xml:space="preserve"> (2012) The oyster genome reveals stress adaptation and complexity of shell formation. Nature. 490: 49-54.</w:t>
      </w:r>
    </w:p>
    <w:p w14:paraId="566CBCBA" w14:textId="77777777" w:rsidR="00C85C10" w:rsidRDefault="00C85C10" w:rsidP="00C02D9B">
      <w:pPr>
        <w:pStyle w:val="Heading1"/>
      </w:pPr>
    </w:p>
    <w:p w14:paraId="765BB42C" w14:textId="77777777" w:rsidR="009079FD" w:rsidRDefault="009079FD" w:rsidP="00C02D9B">
      <w:pPr>
        <w:pStyle w:val="Heading1"/>
      </w:pPr>
    </w:p>
    <w:p w14:paraId="371BEAF4" w14:textId="77777777" w:rsidR="009079FD" w:rsidRDefault="009079FD" w:rsidP="00C02D9B">
      <w:pPr>
        <w:pStyle w:val="Heading1"/>
      </w:pPr>
    </w:p>
    <w:p w14:paraId="45116CEE" w14:textId="77777777" w:rsidR="009079FD" w:rsidRDefault="009079FD" w:rsidP="00C02D9B">
      <w:pPr>
        <w:pStyle w:val="Heading1"/>
      </w:pPr>
    </w:p>
    <w:p w14:paraId="488CBB94" w14:textId="77777777" w:rsidR="009079FD" w:rsidRDefault="009079FD" w:rsidP="009079FD"/>
    <w:p w14:paraId="5A0503CA" w14:textId="77777777" w:rsidR="009079FD" w:rsidRDefault="009079FD" w:rsidP="009079FD"/>
    <w:p w14:paraId="42ACE876" w14:textId="77777777" w:rsidR="00191D78" w:rsidRDefault="00191D78" w:rsidP="009079FD">
      <w:pPr>
        <w:pStyle w:val="Heading1"/>
      </w:pPr>
    </w:p>
    <w:p w14:paraId="7E5EC2B1" w14:textId="77777777" w:rsidR="00191D78" w:rsidRDefault="00191D78" w:rsidP="009079FD">
      <w:pPr>
        <w:pStyle w:val="Heading1"/>
      </w:pPr>
    </w:p>
    <w:p w14:paraId="145FF99D" w14:textId="77777777" w:rsidR="00191D78" w:rsidRDefault="00191D78" w:rsidP="009079FD">
      <w:pPr>
        <w:pStyle w:val="Heading1"/>
      </w:pPr>
    </w:p>
    <w:p w14:paraId="40F7B282" w14:textId="77777777" w:rsidR="00191D78" w:rsidRDefault="00191D78" w:rsidP="009079FD">
      <w:pPr>
        <w:pStyle w:val="Heading1"/>
      </w:pPr>
    </w:p>
    <w:p w14:paraId="719E9D5A" w14:textId="77777777" w:rsidR="00191D78" w:rsidRDefault="00191D78" w:rsidP="00191D78"/>
    <w:p w14:paraId="6D078958" w14:textId="77777777" w:rsidR="00191D78" w:rsidRDefault="00191D78" w:rsidP="00191D78"/>
    <w:p w14:paraId="552CD45A" w14:textId="77777777" w:rsidR="00191D78" w:rsidRDefault="00191D78" w:rsidP="00191D78"/>
    <w:p w14:paraId="33DB6360" w14:textId="77777777" w:rsidR="00191D78" w:rsidRDefault="00191D78" w:rsidP="00191D78"/>
    <w:p w14:paraId="02803C2F" w14:textId="77777777" w:rsidR="00191D78" w:rsidRDefault="00191D78" w:rsidP="00191D78"/>
    <w:p w14:paraId="0C91968B" w14:textId="77777777" w:rsidR="00191D78" w:rsidRDefault="00191D78" w:rsidP="00191D78"/>
    <w:p w14:paraId="48490034" w14:textId="77777777" w:rsidR="00191D78" w:rsidRDefault="00191D78" w:rsidP="00191D78"/>
    <w:p w14:paraId="18732FEF" w14:textId="4A6CECDA" w:rsidR="00C02D9B" w:rsidRDefault="00C02D9B" w:rsidP="00191D78">
      <w:pPr>
        <w:pStyle w:val="Heading1"/>
      </w:pPr>
      <w:bookmarkStart w:id="48" w:name="_Toc257278802"/>
      <w:r>
        <w:t xml:space="preserve">Chapter III:  </w:t>
      </w:r>
      <w:r w:rsidR="00426D9F">
        <w:t>From shell deposition to protein expression: An integrative assessment of ocean acidification impacts on a marine invertebrate</w:t>
      </w:r>
      <w:bookmarkEnd w:id="48"/>
    </w:p>
    <w:p w14:paraId="1D80C13F" w14:textId="77777777" w:rsidR="00732DA8" w:rsidRDefault="00732DA8" w:rsidP="00732DA8"/>
    <w:p w14:paraId="752BE645" w14:textId="7FE932D4" w:rsidR="00732DA8" w:rsidRPr="00FA07E7" w:rsidRDefault="00732DA8" w:rsidP="00CD3568">
      <w:pPr>
        <w:rPr>
          <w:rFonts w:ascii="Times" w:hAnsi="Times"/>
        </w:rPr>
      </w:pPr>
      <w:r w:rsidRPr="00FA07E7">
        <w:rPr>
          <w:rFonts w:ascii="Times" w:hAnsi="Times"/>
        </w:rPr>
        <w:t xml:space="preserve">Submitted </w:t>
      </w:r>
      <w:r w:rsidR="00CD3568">
        <w:rPr>
          <w:rFonts w:ascii="Times" w:hAnsi="Times"/>
        </w:rPr>
        <w:t>for publication</w:t>
      </w:r>
    </w:p>
    <w:p w14:paraId="160291F2" w14:textId="77777777" w:rsidR="00C02D9B" w:rsidRDefault="00C02D9B" w:rsidP="00C02D9B">
      <w:pPr>
        <w:pStyle w:val="Heading2"/>
      </w:pPr>
      <w:bookmarkStart w:id="49" w:name="_Toc257278803"/>
      <w:r>
        <w:t>Abstract</w:t>
      </w:r>
      <w:bookmarkEnd w:id="49"/>
    </w:p>
    <w:p w14:paraId="24910A49" w14:textId="77777777" w:rsidR="00C85C10" w:rsidRPr="00C85C10" w:rsidRDefault="00C85C10" w:rsidP="00C85C10"/>
    <w:p w14:paraId="0D41F7DB" w14:textId="5ED116B5" w:rsidR="00732DA8" w:rsidRPr="00732DA8" w:rsidRDefault="000A3584" w:rsidP="00EA3E29">
      <w:pPr>
        <w:spacing w:line="360" w:lineRule="auto"/>
      </w:pPr>
      <w:r w:rsidRPr="00183126">
        <w:rPr>
          <w:rFonts w:ascii="Times" w:hAnsi="Times"/>
          <w:szCs w:val="22"/>
        </w:rPr>
        <w:t>Ocean acidification as a result of increased anthropogenic CO</w:t>
      </w:r>
      <w:r w:rsidRPr="00183126">
        <w:rPr>
          <w:rFonts w:ascii="Times" w:hAnsi="Times"/>
          <w:szCs w:val="22"/>
          <w:vertAlign w:val="subscript"/>
        </w:rPr>
        <w:t>2</w:t>
      </w:r>
      <w:r w:rsidRPr="00183126">
        <w:rPr>
          <w:rFonts w:ascii="Times" w:hAnsi="Times"/>
          <w:szCs w:val="22"/>
        </w:rPr>
        <w:t xml:space="preserve"> emissions is occurring in marine and estuarine environments worldwide.  The coastal ocean experiences additional daily and seasonal fluctuations in pH that attain and exceed projected end of century open ocean pH reductions.  In order to assess the impact of ocean acidification on marine invertebrates, Pacific oysters (</w:t>
      </w:r>
      <w:r w:rsidRPr="00183126">
        <w:rPr>
          <w:rFonts w:ascii="Times" w:hAnsi="Times"/>
          <w:i/>
          <w:szCs w:val="22"/>
        </w:rPr>
        <w:t>Crassostrea gigas</w:t>
      </w:r>
      <w:r w:rsidRPr="00183126">
        <w:rPr>
          <w:rFonts w:ascii="Times" w:hAnsi="Times"/>
          <w:szCs w:val="22"/>
        </w:rPr>
        <w:t xml:space="preserve">) were exposed to one of four different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 xml:space="preserve">2 </w:t>
      </w:r>
      <w:r w:rsidRPr="00183126">
        <w:rPr>
          <w:rFonts w:ascii="Times" w:hAnsi="Times"/>
          <w:szCs w:val="22"/>
        </w:rPr>
        <w:t xml:space="preserve">levels for four weeks: 400 µatm (pH 8.0), 800 µatm (pH 7.7), 1000 µatm (pH 7.6), or 2800 µatm (pH 7.3).  Oysters in all four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 xml:space="preserve">2 </w:t>
      </w:r>
      <w:r w:rsidRPr="00183126">
        <w:rPr>
          <w:rFonts w:ascii="Times" w:hAnsi="Times"/>
          <w:szCs w:val="22"/>
        </w:rPr>
        <w:t xml:space="preserve">environments deposited new shell during the experiment, but growth rate was not different among the treatments.  However, micromechanical properties of the new shell were compromised by elevated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2</w:t>
      </w:r>
      <w:r w:rsidRPr="00183126">
        <w:rPr>
          <w:rFonts w:ascii="Times" w:hAnsi="Times"/>
          <w:szCs w:val="22"/>
        </w:rPr>
        <w:t xml:space="preserve">.  Elevated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 xml:space="preserve">2 </w:t>
      </w:r>
      <w:r w:rsidRPr="00183126">
        <w:rPr>
          <w:rFonts w:ascii="Times" w:hAnsi="Times"/>
          <w:szCs w:val="22"/>
        </w:rPr>
        <w:t>affected neither whole body fatty acid composition</w:t>
      </w:r>
      <w:r>
        <w:rPr>
          <w:rFonts w:ascii="Times" w:hAnsi="Times"/>
          <w:szCs w:val="22"/>
        </w:rPr>
        <w:t>, nor glycogen content,</w:t>
      </w:r>
      <w:r w:rsidRPr="00183126">
        <w:rPr>
          <w:rFonts w:ascii="Times" w:hAnsi="Times"/>
          <w:szCs w:val="22"/>
        </w:rPr>
        <w:t xml:space="preserve"> nor mortality rate associated with acute heat shock.  Shotgun proteomics revealed that several physiological pathways were significantly affected by ocean acidification, including antioxidant response, carbohydrate metabolism, and </w:t>
      </w:r>
      <w:r>
        <w:rPr>
          <w:rFonts w:ascii="Times" w:hAnsi="Times"/>
          <w:szCs w:val="22"/>
        </w:rPr>
        <w:t>transcription and translation</w:t>
      </w:r>
      <w:r w:rsidRPr="00183126">
        <w:rPr>
          <w:rFonts w:ascii="Times" w:hAnsi="Times"/>
          <w:szCs w:val="22"/>
        </w:rPr>
        <w:t xml:space="preserve">. Additionally, the proteomic response to a second stress differed with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2</w:t>
      </w:r>
      <w:r w:rsidRPr="00183126">
        <w:rPr>
          <w:rFonts w:ascii="Times" w:hAnsi="Times"/>
          <w:szCs w:val="22"/>
        </w:rPr>
        <w:t xml:space="preserve">, with numerous processes significantly affected by mechanical stimulation at high versus low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2</w:t>
      </w:r>
      <w:r w:rsidRPr="00183126">
        <w:rPr>
          <w:rFonts w:ascii="Times" w:hAnsi="Times"/>
          <w:szCs w:val="22"/>
        </w:rPr>
        <w:t>.  These data contribute to an integrative view of the effects of ocean acidification on oysters as well as physiological trade-offs during environmental stress.</w:t>
      </w:r>
      <w:r w:rsidR="00EC50CE">
        <w:rPr>
          <w:rFonts w:ascii="Times" w:hAnsi="Times"/>
          <w:szCs w:val="22"/>
        </w:rPr>
        <w:t xml:space="preserve">  The data have been deposited to the ProteomeXchange with identifier PXD000835.</w:t>
      </w:r>
    </w:p>
    <w:p w14:paraId="7BA5AFE3" w14:textId="77777777" w:rsidR="00C02D9B" w:rsidRDefault="00C02D9B" w:rsidP="00C02D9B">
      <w:pPr>
        <w:pStyle w:val="Heading2"/>
      </w:pPr>
      <w:bookmarkStart w:id="50" w:name="_Toc257278804"/>
      <w:r>
        <w:t>Introduction</w:t>
      </w:r>
      <w:bookmarkEnd w:id="50"/>
    </w:p>
    <w:p w14:paraId="6B444D69" w14:textId="77777777" w:rsidR="00C85C10" w:rsidRPr="00C85C10" w:rsidRDefault="00C85C10" w:rsidP="00C85C10"/>
    <w:p w14:paraId="2F4D640C" w14:textId="77777777" w:rsidR="000A3584" w:rsidRPr="000A3584" w:rsidRDefault="000A3584" w:rsidP="000A3584">
      <w:pPr>
        <w:pStyle w:val="normal0"/>
        <w:spacing w:line="360" w:lineRule="auto"/>
        <w:ind w:firstLine="720"/>
        <w:rPr>
          <w:rFonts w:ascii="Times" w:hAnsi="Times"/>
          <w:sz w:val="24"/>
        </w:rPr>
      </w:pPr>
      <w:r w:rsidRPr="000A3584">
        <w:rPr>
          <w:rFonts w:ascii="Times" w:hAnsi="Times"/>
          <w:sz w:val="24"/>
        </w:rPr>
        <w:t xml:space="preserve">Current measurements of surface ocean pH have revealed decreases that are in accordance with modeled predictions of a pH decline of at least 0.3 units corresponding to atmospheric </w:t>
      </w:r>
      <w:r w:rsidRPr="000A3584">
        <w:rPr>
          <w:rFonts w:ascii="Times" w:hAnsi="Times"/>
          <w:i/>
          <w:sz w:val="24"/>
        </w:rPr>
        <w:t>p</w:t>
      </w:r>
      <w:r w:rsidRPr="000A3584">
        <w:rPr>
          <w:rFonts w:ascii="Times" w:hAnsi="Times"/>
          <w:sz w:val="24"/>
        </w:rPr>
        <w:t>CO</w:t>
      </w:r>
      <w:r w:rsidRPr="000A3584">
        <w:rPr>
          <w:rFonts w:ascii="Times" w:hAnsi="Times"/>
          <w:sz w:val="24"/>
          <w:vertAlign w:val="subscript"/>
        </w:rPr>
        <w:t xml:space="preserve">2 </w:t>
      </w:r>
      <w:r w:rsidRPr="000A3584">
        <w:rPr>
          <w:rFonts w:ascii="Times" w:hAnsi="Times"/>
          <w:sz w:val="24"/>
        </w:rPr>
        <w:t xml:space="preserve">of 650-970 ppm by the year 2100 </w:t>
      </w:r>
      <w:r w:rsidRPr="000A3584">
        <w:rPr>
          <w:rFonts w:ascii="Times" w:hAnsi="Times"/>
          <w:sz w:val="24"/>
        </w:rPr>
        <w:fldChar w:fldCharType="begin" w:fldLock="1"/>
      </w:r>
      <w:r w:rsidRPr="000A3584">
        <w:rPr>
          <w:rFonts w:ascii="Times" w:hAnsi="Times"/>
          <w:sz w:val="24"/>
        </w:rPr>
        <w:instrText>ADDIN CSL_CITATION { "citationItems" : [ { "id" : "ITEM-1", "itemData" : { "DOI" : "10.1038/nature04095", "ISSN" : "1476-4687", "PMID" : "16193043", "abstract" : "Today's surface ocean is saturated with respect to calcium carbonate, but increasing atmospheric carbon dioxide concentrations are reducing ocean pH and carbonate ion concentrations, and thus the level of calcium carbonate saturation. Experimental evidence suggests that if these trends continue, key marine organisms--such as corals and some plankton--will have difficulty maintaining their external calcium carbonate skeletons. Here we use 13 models of the ocean-carbon cycle to assess calcium carbonate saturation under the IS92a 'business-as-usual' scenario for future emissions of anthropogenic carbon dioxide. In our projections, Southern Ocean surface waters will begin to become undersaturated with respect to aragonite, a metastable form of calcium carbonate, by the year 2050. By 2100, this undersaturation could extend throughout the entire Southern Ocean and into the subarctic Pacific Ocean. When live pteropods were exposed to our predicted level of undersaturation during a two-day shipboard experiment, their aragonite shells showed notable dissolution. Our findings indicate that conditions detrimental to high-latitude ecosystems could develop within decades, not centuries as suggested previously.", "author" : [ { "dropping-particle" : "", "family" : "Orr", "given" : "James C", "non-dropping-particle" : "", "parse-names" : false, "suffix" : "" }, { "dropping-particle" : "", "family" : "Fabry", "given" : "Victoria J", "non-dropping-particle" : "", "parse-names" : false, "suffix" : "" }, { "dropping-particle" : "", "family" : "Aumont", "given" : "Olivier", "non-dropping-particle" : "", "parse-names" : false, "suffix" : "" }, { "dropping-particle" : "", "family" : "Bopp", "given" : "Laurent", "non-dropping-particle" : "", "parse-names" : false, "suffix" : "" }, { "dropping-particle" : "", "family" : "Doney", "given" : "Scott C", "non-dropping-particle" : "", "parse-names" : false, "suffix" : "" }, { "dropping-particle" : "", "family" : "Feely", "given" : "Richard a", "non-dropping-particle" : "", "parse-names" : false, "suffix" : "" }, { "dropping-particle" : "", "family" : "Gnanadesikan", "given" : "Anand", "non-dropping-particle" : "", "parse-names" : false, "suffix" : "" }, { "dropping-particle" : "", "family" : "Gruber", "given" : "Nicolas", "non-dropping-particle" : "", "parse-names" : false, "suffix" : "" }, { "dropping-particle" : "", "family" : "Ishida", "given" : "Akio", "non-dropping-particle" : "", "parse-names" : false, "suffix" : "" }, { "dropping-particle" : "", "family" : "Joos", "given" : "Fortunat", "non-dropping-particle" : "", "parse-names" : false, "suffix" : "" }, { "dropping-particle" : "", "family" : "Key", "given" : "Robert M", "non-dropping-particle" : "", "parse-names" : false, "suffix" : "" }, { "dropping-particle" : "", "family" : "Lindsay", "given" : "Keith", "non-dropping-particle" : "", "parse-names" : false, "suffix" : "" }, { "dropping-particle" : "", "family" : "Maier-Reimer", "given" : "Ernst", "non-dropping-particle" : "", "parse-names" : false, "suffix" : "" }, { "dropping-particle" : "", "family" : "Matear", "given" : "Richard", "non-dropping-particle" : "", "parse-names" : false, "suffix" : "" }, { "dropping-particle" : "", "family" : "Monfray", "given" : "Patrick", "non-dropping-particle" : "", "parse-names" : false, "suffix" : "" }, { "dropping-particle" : "", "family" : "Mouchet", "given" : "Anne", "non-dropping-particle" : "", "parse-names" : false, "suffix" : "" }, { "dropping-particle" : "", "family" : "Najjar", "given" : "Raymond G", "non-dropping-particle" : "", "parse-names" : false, "suffix" : "" }, { "dropping-particle" : "", "family" : "Plattner", "given" : "Gian-Kasper", "non-dropping-particle" : "", "parse-names" : false, "suffix" : "" }, { "dropping-particle" : "", "family" : "Rodgers", "given" : "Keith B", "non-dropping-particle" : "", "parse-names" : false, "suffix" : "" }, { "dropping-particle" : "", "family" : "Sabine", "given" : "Christopher L", "non-dropping-particle" : "", "parse-names" : false, "suffix" : "" }, { "dropping-particle" : "", "family" : "Sarmiento", "given" : "Jorge L", "non-dropping-particle" : "", "parse-names" : false, "suffix" : "" }, { "dropping-particle" : "", "family" : "Schlitzer", "given" : "Reiner", "non-dropping-particle" : "", "parse-names" : false, "suffix" : "" }, { "dropping-particle" : "", "family" : "Slater", "given" : "Richard D", "non-dropping-particle" : "", "parse-names" : false, "suffix" : "" }, { "dropping-particle" : "", "family" : "Totterdell", "given" : "Ian J", "non-dropping-particle" : "", "parse-names" : false, "suffix" : "" }, { "dropping-particle" : "", "family" : "Weirig", "given" : "Marie-France", "non-dropping-particle" : "", "parse-names" : false, "suffix" : "" }, { "dropping-particle" : "", "family" : "Yamanaka", "given" : "Yasuhiro", "non-dropping-particle" : "", "parse-names" : false, "suffix" : "" }, { "dropping-particle" : "", "family" : "Yool", "given" : "Andrew", "non-dropping-particle" : "", "parse-names" : false, "suffix" : "" } ], "container-title" : "Nature", "id" : "ITEM-1", "issue" : "7059", "issued" : { "date-parts" : [ [ "2005", "9", "29" ] ] }, "page" : "681-6", "title" : "Anthropogenic ocean acidification over the twenty-first century and its impact on calcifying organisms.", "type" : "article-journal", "volume" : "437" }, "uris" : [ "http://www.mendeley.com/documents/?uuid=946e2980-460f-4595-b245-42a04b066312" ] }, { "id" : "ITEM-2", "itemData" : { "DOI" : "10.1029/2004JC002671", "ISSN" : "0148-0227", "author" : [ { "dropping-particle" : "", "family" : "Caldeira", "given" : "Ken", "non-dropping-particle" : "", "parse-names" : false, "suffix" : "" }, { "dropping-particle" : "", "family" : "Wickett", "given" : "Michael E.", "non-dropping-particle" : "", "parse-names" : false, "suffix" : "" } ], "container-title" : "Journal of Geophysical Research", "id" : "ITEM-2", "issue" : "C9", "issued" : { "date-parts" : [ [ "2005" ] ] }, "page" : "C09S04", "title" : "Ocean model predictions of chemistry changes from carbon dioxide emissions to the atmosphere and ocean", "type" : "article-journal", "volume" : "110" }, "uris" : [ "http://www.mendeley.com/documents/?uuid=54c72917-b3d0-444a-86a1-e0985006d608" ] }, { "id" : "ITEM-3",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"ITEM-3",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"id" : "ITEM-4",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"ITEM-4", "issue" : "3", "issued" : { "date-parts" : [ [ "2012", "9", "4" ] ] }, "page" : "GB3001", "title" : "Decadal changes in the aragonite and calcite saturation state of the Pacific Ocean", "type" : "article-journal", "volume" : "26" }, "uris" : [ "http://www.mendeley.com/documents/?uuid=5f9af3fa-4819-4b6f-ad16-2e10bfb13f85" ] }, { "id" : "ITEM-5", "itemData" : { "DOI" : "10.1126/science.1216773", "ISSN" : "1095-9203", "PMID" : "22700658", "abstract" : "Nearshore waters of the California Current System (California CS) already have a low carbonate saturation state, making them particularly susceptible to ocean acidification. We used eddy-resolving model simulations to study the potential development of ocean acidification in this system up to the year 2050 under the Special Report on Emissions Scenarios A2 and B1 scenarios. In both scenarios, the saturation state of aragonite \u2126(arag) is projected to drop rapidly, with much of the nearshore region developing summer-long undersaturation in the top 60 meters within the next 30 years. By 2050, waters with \u2126(arag) above 1.5 will have largely disappeared, and more than half of the waters will be undersaturated year-round. Habitats along the sea floor will become exposed to year-round undersaturation within the next 20 to 30 years. These projected events have potentially major implications for the rich and diverse ecosystem that characterizes the California CS.", "author" : [ { "dropping-particle" : "", "family" : "Gruber", "given" : "Nicolas", "non-dropping-particle" : "", "parse-names" : false, "suffix" : "" }, { "dropping-particle" : "", "family" : "Hauri", "given" : "Claudine", "non-dropping-particle" : "", "parse-names" : false, "suffix" : "" }, { "dropping-particle" : "", "family" : "Lachkar", "given" : "Zouhair", "non-dropping-particle" : "", "parse-names" : false, "suffix" : "" }, { "dropping-particle" : "", "family" : "Loher", "given" : "Damian", "non-dropping-particle" : "", "parse-names" : false, "suffix" : "" }, { "dropping-particle" : "", "family" : "Fr\u00f6licher", "given" : "Thomas L", "non-dropping-particle" : "", "parse-names" : false, "suffix" : "" }, { "dropping-particle" : "", "family" : "Plattner", "given" : "Gian-Kasper", "non-dropping-particle" : "", "parse-names" : false, "suffix" : "" } ], "container-title" : "Science", "id" : "ITEM-5", "issue" : "6091", "issued" : { "date-parts" : [ [ "2012", "7", "13" ] ] }, "page" : "220-3", "title" : "Rapid progression of ocean acidification in the California Current System.", "type" : "article-journal", "volume" : "337" }, "uris" : [ "http://www.mendeley.com/documents/?uuid=fd7f6cce-a586-4e59-8a90-9d2acdda7f94" ] }, { "id" : "ITEM-6", "itemData" : { "id" : "ITEM-6", "issued" : { "date-parts" : [ [ "0" ] ] }, "title" : "friedrich 2012", "type" : "article" }, "uris" : [ "http://www.mendeley.com/documents/?uuid=0e9b736f-9da4-44a4-b4b5-f40ad50112c2" ] }, { "id" : "ITEM-7", "itemData" : { "DOI" : "10.1038/NCLIMATE1372", "author" : [ { "dropping-particle" : "", "family" : "Friedrich", "given" : "T", "non-dropping-particle" : "", "parse-names" : false, "suffix" : "" }, { "dropping-particle" : "", "family" : "Timmermann", "given" : "A", "non-dropping-particle" : "", "parse-names" : false, "suffix" : "" }, { "dropping-particle" : "", "family" : "Bates", "given" : "N R", "non-dropping-particle" : "", "parse-names" : false, "suffix" : "" }, { "dropping-particle" : "", "family" : "Chikamoto", "given" : "M O", "non-dropping-particle" : "", "parse-names" : false, "suffix" : "" }, { "dropping-particle" : "", "family" : "Church", "given" : "M J", "non-dropping-particle" : "", "parse-names" : false, "suffix" : "" }, { "dropping-particle" : "", "family" : "Dore", "given" : "J E", "non-dropping-particle" : "", "parse-names" : false, "suffix" : "" }, { "dropping-particle" : "", "family" : "Gledhill", "given" : "D K", "non-dropping-particle" : "", "parse-names" : false, "suffix" : "" }, { "dropping-particle" : "", "family" : "Heinemann", "given" : "M", "non-dropping-particle" : "", "parse-names" : false, "suffix" : "" }, { "dropping-particle" : "", "family" : "Ilyina", "given" : "T", "non-dropping-particle" : "", "parse-names" : false, "suffix" : "" }, { "dropping-particle" : "", "family" : "Jungclaus", "given" : "J H", "non-dropping-particle" : "", "parse-names" : false, "suffix" : "" }, { "dropping-particle" : "", "family" : "Mcleod", "given" : "E", "non-dropping-particle" : "", "parse-names" : false, "suffix" : "" }, { "dropping-particle" : "", "family" : "Mouchet", "given" : "A", "non-dropping-particle" : "", "parse-names" : false, "suffix" : "" } ], "id" : "ITEM-7", "issue" : "March", "issued" : { "date-parts" : [ [ "2012" ] ] }, "page" : "167-171", "title" : "Detecting regional anthropogenic trends in ocean acidification against natural variability", "type" : "article-journal", "volume" : "2" }, "uris" : [ "http://www.mendeley.com/documents/?uuid=75ac8fa9-cf36-4025-acb8-2a8b19963314" ] } ], "mendeley" : { "manualFormatting" : "(Caldeira and Wickett, 2005; Feely et al., 2010, 2012; Friedrich et al., 2012; Gruber et al., 2012; Orr et al., 2005)", "previouslyFormattedCitation" : "(Caldeira &amp; Wickett, 2005; R. a. Feely et al., 2010; R. A. Feely et al., 2012; \u201cfriedrich 2012,\u201d n.d.; Friedrich et al., 2012; Gruber et al., 2012; Orr et al., 2005)" }, "properties" : { "noteIndex" : 0 }, "schema" : "https://github.com/citation-style-language/schema/raw/master/csl-citation.json" }</w:instrText>
      </w:r>
      <w:r w:rsidRPr="000A3584">
        <w:rPr>
          <w:rFonts w:ascii="Times" w:hAnsi="Times"/>
          <w:sz w:val="24"/>
        </w:rPr>
        <w:fldChar w:fldCharType="separate"/>
      </w:r>
      <w:r w:rsidRPr="000A3584">
        <w:rPr>
          <w:rFonts w:ascii="Times" w:hAnsi="Times"/>
          <w:noProof/>
          <w:sz w:val="24"/>
        </w:rPr>
        <w:t>(Caldeira and Wickett, 2005; Feely et al., 2010, 2012; Friedrich et al., 2012; Gruber et al., 2012; Orr et al., 2005)</w:t>
      </w:r>
      <w:r w:rsidRPr="000A3584">
        <w:rPr>
          <w:rFonts w:ascii="Times" w:hAnsi="Times"/>
          <w:sz w:val="24"/>
        </w:rPr>
        <w:fldChar w:fldCharType="end"/>
      </w:r>
      <w:r w:rsidRPr="000A3584">
        <w:rPr>
          <w:rFonts w:ascii="Times" w:hAnsi="Times"/>
          <w:sz w:val="24"/>
        </w:rPr>
        <w:t xml:space="preserve">.  The coastal ocean, home to productive fisheries and diverse ecosystems, may see even greater changes in pH due to natural processes (i.e. hydrography, freshwater input, and biological activity) and a plethora of anthropogenic effects (i.e. deforestation, agriculture, mining, increasing population sizes) (reviewed in </w:t>
      </w:r>
      <w:r w:rsidRPr="000A3584">
        <w:rPr>
          <w:rFonts w:ascii="Times" w:hAnsi="Times"/>
          <w:sz w:val="24"/>
        </w:rPr>
        <w:fldChar w:fldCharType="begin" w:fldLock="1"/>
      </w:r>
      <w:r w:rsidRPr="000A3584">
        <w:rPr>
          <w:rFonts w:ascii="Times" w:hAnsi="Times"/>
          <w:sz w:val="24"/>
        </w:rPr>
        <w:instrText>ADDIN CSL_CITATION { "citationItems" : [ { "id" : "ITEM-1", "itemData" : { "DOI" : "10.1007/s12237-013-9594-3", "ISBN" : "1223701395", "ISSN" : "1559-2723", "author" : [ { "dropping-particle" : "", "family" : "Duarte", "given" : "Carlos M.", "non-dropping-particle" : "", "parse-names" : false, "suffix" : "" }, { "dropping-particle" : "", "family" : "Hendriks", "given" : "Iris E.", "non-dropping-particle" : "", "parse-names" : false, "suffix" : "" }, { "dropping-particle" : "", "family" : "Moore", "given" : "Tommy S.", "non-dropping-particle" : "", "parse-names" : false, "suffix" : "" }, { "dropping-particle" : "", "family" : "Olsen", "given" : "Ylva S.", "non-dropping-particle" : "", "parse-names" : false, "suffix" : "" }, { "dropping-particle" : "", "family" : "Steckbauer", "given" : "Alexandra", "non-dropping-particle" : "", "parse-names" : false, "suffix" : "" }, { "dropping-particle" : "", "family" : "Ramajo", "given" : "Laura", "non-dropping-particle" : "", "parse-names" : false, "suffix" : "" }, { "dropping-particle" : "", "family" : "Carstensen", "given" : "Jacob", "non-dropping-particle" : "", "parse-names" : false, "suffix" : "" }, { "dropping-particle" : "", "family" : "Trotter", "given" : "Julie a.", "non-dropping-particle" : "", "parse-names" : false, "suffix" : "" }, { "dropping-particle" : "", "family" : "McCulloch", "given" : "Malcolm", "non-dropping-particle" : "", "parse-names" : false, "suffix" : "" } ], "container-title" : "Estuaries and Coasts", "id" : "ITEM-1", "issue" : "2", "issued" : { "date-parts" : [ [ "2013", "3", "1" ] ] }, "page" : "221-236", "title" : "Is Ocean Acidification an Open-Ocean Syndrome? Understanding Anthropogenic Impacts on Seawater pH", "type" : "article-journal", "volume" : "36" }, "uris" : [ "http://www.mendeley.com/documents/?uuid=67199a19-e43b-450c-bd02-848227562323" ] } ], "mendeley" : { "manualFormatting" : "Duarte et al., 2013)", "previouslyFormattedCitation" : "(Duarte et al., 2013)" }, "properties" : { "noteIndex" : 0 }, "schema" : "https://github.com/citation-style-language/schema/raw/master/csl-citation.json" }</w:instrText>
      </w:r>
      <w:r w:rsidRPr="000A3584">
        <w:rPr>
          <w:rFonts w:ascii="Times" w:hAnsi="Times"/>
          <w:sz w:val="24"/>
        </w:rPr>
        <w:fldChar w:fldCharType="separate"/>
      </w:r>
      <w:r w:rsidRPr="000A3584">
        <w:rPr>
          <w:rFonts w:ascii="Times" w:hAnsi="Times"/>
          <w:noProof/>
          <w:sz w:val="24"/>
        </w:rPr>
        <w:t>Duarte et al., 2013)</w:t>
      </w:r>
      <w:r w:rsidRPr="000A3584">
        <w:rPr>
          <w:rFonts w:ascii="Times" w:hAnsi="Times"/>
          <w:sz w:val="24"/>
        </w:rPr>
        <w:fldChar w:fldCharType="end"/>
      </w:r>
      <w:r w:rsidRPr="000A3584">
        <w:rPr>
          <w:rFonts w:ascii="Times" w:hAnsi="Times"/>
          <w:sz w:val="24"/>
        </w:rPr>
        <w:t xml:space="preserve">.  Although some species that live in the coastal ocean show a degree of adaptation to variable pH (see </w:t>
      </w:r>
      <w:r w:rsidRPr="000A3584">
        <w:rPr>
          <w:rFonts w:ascii="Times" w:hAnsi="Times"/>
          <w:sz w:val="24"/>
        </w:rPr>
        <w:fldChar w:fldCharType="begin" w:fldLock="1"/>
      </w:r>
      <w:r w:rsidRPr="000A3584">
        <w:rPr>
          <w:rFonts w:ascii="Times" w:hAnsi="Times"/>
          <w:sz w:val="24"/>
        </w:rPr>
        <w:instrText>ADDIN CSL_CITATION { "citationItems" : [ { "id" : "ITEM-1", "itemData" : { "DOI" : "10.1073/pnas.1220673110", "ISBN" : "1220673110", "ISSN" : "1091-6490", "PMID" : "23569232", "abstract" : "Rising atmospheric carbon dioxide (CO2) conditions are driving unprecedented changes in seawater chemistry, resulting in reduced pH and carbonate ion concentrations in the Earth's oceans. This ocean acidification has negative but variable impacts on individual performance in many marine species. However, little is known about the adaptive capacity of species to respond to an acidified ocean, and, as a result, predictions regarding future ecosystem responses remain incomplete. Here we demonstrate that ocean acidification generates striking patterns of genome-wide selection in purple sea urchins (Strongylocentrotus purpuratus) cultured under different CO2 levels. We examined genetic change at 19,493 loci in larvae from seven adult populations cultured under realistic future CO2 levels. Although larval development and morphology showed little response to elevated CO2, we found substantial allelic change in 40 functional classes of proteins involving hundreds of loci. Pronounced genetic changes, including excess amino acid replacements, were detected in all populations and occurred in genes for biomineralization, lipid metabolism, and ion homeostasis--gene classes that build skeletons and interact in pH regulation. Such genetic change represents a neglected and important impact of ocean acidification that may influence populations that show few outward signs of response to acidification. Our results demonstrate the capacity for rapid evolution in the face of ocean acidification and show that standing genetic variation could be a reservoir of resilience to climate change in this coastal upwelling ecosystem. However, effective response to strong natural selection demands large population sizes and may be limited in species impacted by other environmental stressors.", "author" : [ { "dropping-particle" : "", "family" : "Pespeni", "given" : "Melissa H", "non-dropping-particle" : "", "parse-names" : false, "suffix" : "" }, { "dropping-particle" : "", "family" : "Sanford", "given" : "Eric", "non-dropping-particle" : "", "parse-names" : false, "suffix" : "" }, { "dropping-particle" : "", "family" : "Gaylord", "given" : "Brian", "non-dropping-particle" : "", "parse-names" : false, "suffix" : "" }, { "dropping-particle" : "", "family" : "Hill", "given" : "Tessa M", "non-dropping-particle" : "", "parse-names" : false, "suffix" : "" }, { "dropping-particle" : "", "family" : "Hosfelt", "given" : "Jessica D", "non-dropping-particle" : "", "parse-names" : false, "suffix" : "" }, { "dropping-particle" : "", "family" : "Jaris", "given" : "Hannah K", "non-dropping-particle" : "", "parse-names" : false, "suffix" : "" }, { "dropping-particle" : "", "family" : "LaVigne", "given" : "Mich\u00e8le", "non-dropping-particle" : "", "parse-names" : false, "suffix" : "" }, { "dropping-particle" : "", "family" : "Lenz", "given" : "Elizabeth a", "non-dropping-particle" : "", "parse-names" : false, "suffix" : "" }, { "dropping-particle" : "", "family" : "Russell", "given" : "Ann D", "non-dropping-particle" : "", "parse-names" : false, "suffix" : "" }, { "dropping-particle" : "", "family" : "Young", "given" : "Megan K", "non-dropping-particle" : "", "parse-names" : false, "suffix" : "" }, { "dropping-particle" : "", "family" : "Palumbi", "given" : "Stephen R", "non-dropping-particle" : "", "parse-names" : false, "suffix" : "" } ], "container-title" : "Proceedings of the National Academy of Sciences of the United States of America", "id" : "ITEM-1", "issue" : "17", "issued" : { "date-parts" : [ [ "2013", "4", "23" ] ] }, "page" : "6937-42", "title" : "Evolutionary change during experimental ocean acidification.", "type" : "article-journal", "volume" : "110" }, "uris" : [ "http://www.mendeley.com/documents/?uuid=0d298546-76ae-4a04-b2d2-6b1cfee5b5cf" ] }, { "id" : "ITEM-2", "itemData" : { "DOI" : "10.1111/gcb.12251", "ISSN" : "1354-1013", "PMID" : "23661315", "abstract" : "A rapidly growing body of literature documents the potential negative effects of CO2 -driven ocean acidification (OA) on marine organisms. However, nearly all this work has focused on the effects of future conditions on modern populations, neglecting the role of adaptation. Rapid evolution can alter demographic responses to environmental change, ultimately affecting the likelihood of population persistence, but the capacity for adaptation will differ among populations and species. Here, we measure the capacity of the ecologically important purple sea urchin Strongylocentrotus purpuratus to adapt to OA, using a breeding experiment to estimate additive genetic variance for larval size (an important component of fitness) under future high-pCO2 /low-pH conditions. Although larvae reared under future conditions were smaller than those reared under present-day conditions, we show that there is also abundant genetic variation for body size under elevated pCO2 , indicating that this trait can evolve. The observed heritability of size was 0.40\u00a0\u00b1\u00a00.32 (95% CI) under low pCO2 , and 0.50\u00a0\u00b1\u00a00.30 under high-pCO2 conditions. Accounting for the observed genetic variation in models of future larval size and demographic rates substantially alters projections of performance for this species in the future ocean. Importantly, our model shows that after incorporating the effects of adaptation, the OA-driven decrease in population growth rate is up to 50% smaller, than that predicted by the 'no-adaptation' scenario. Adults used in the experiment were collected from two sites on the coast of the Northeast Pacific that are characterized by different pH regimes, as measured by autonomous sensors. Comparing results between sites, we also found subtle differences in larval size under high-pCO2 rearing conditions, consistent with local adaptation to carbonate chemistry in the field. These results suggest that spatially varying selection may help to maintain genetic variation necessary for adaptation to future OA.", "author" : [ { "dropping-particle" : "", "family" : "Kelly", "given" : "Morgan W", "non-dropping-particle" : "", "parse-names" : false, "suffix" : "" }, { "dropping-particle" : "", "family" : "Padilla-Gami\u00f1o", "given" : "Jacqueline L", "non-dropping-particle" : "", "parse-names" : false, "suffix" : "" }, { "dropping-particle" : "", "family" : "Hofmann", "given" : "Gretchen E", "non-dropping-particle" : "", "parse-names" : false, "suffix" : "" } ], "container-title" : "Global change biology", "id" : "ITEM-2", "issue" : "8", "issued" : { "date-parts" : [ [ "2013", "8" ] ] }, "page" : "2536-46", "title" : "Natural variation and the capacity to adapt to ocean acidification in the keystone sea urchin Strongylocentrotus purpuratus.", "type" : "article-journal", "volume" : "19" }, "uris" : [ "http://www.mendeley.com/documents/?uuid=f5204e35-833c-4def-8ece-b2de67818128" ] } ], "mendeley" : { "manualFormatting" : "Kelly et al., 2013; Pespeni et al., 2013)", "previouslyFormattedCitation" : "(Kelly, Padilla-Gami\u00f1o, &amp; Hofmann, 2013; Pespeni et al., 2013)" }, "properties" : { "noteIndex" : 0 }, "schema" : "https://github.com/citation-style-language/schema/raw/master/csl-citation.json" }</w:instrText>
      </w:r>
      <w:r w:rsidRPr="000A3584">
        <w:rPr>
          <w:rFonts w:ascii="Times" w:hAnsi="Times"/>
          <w:sz w:val="24"/>
        </w:rPr>
        <w:fldChar w:fldCharType="separate"/>
      </w:r>
      <w:r w:rsidRPr="000A3584">
        <w:rPr>
          <w:rFonts w:ascii="Times" w:hAnsi="Times"/>
          <w:noProof/>
          <w:sz w:val="24"/>
        </w:rPr>
        <w:t>Kelly et al., 2013; Pespeni et al., 2013)</w:t>
      </w:r>
      <w:r w:rsidRPr="000A3584">
        <w:rPr>
          <w:rFonts w:ascii="Times" w:hAnsi="Times"/>
          <w:sz w:val="24"/>
        </w:rPr>
        <w:fldChar w:fldCharType="end"/>
      </w:r>
      <w:r w:rsidRPr="000A3584">
        <w:rPr>
          <w:rFonts w:ascii="Times" w:hAnsi="Times"/>
          <w:sz w:val="24"/>
        </w:rPr>
        <w:t xml:space="preserve">, sessile invertebrates are sensitive to acute low pH exposures across life stages.  In bivalves, low pH results in significant changes to larval development </w:t>
      </w:r>
      <w:r w:rsidRPr="000A3584">
        <w:rPr>
          <w:rFonts w:ascii="Times" w:hAnsi="Times"/>
          <w:sz w:val="24"/>
        </w:rPr>
        <w:fldChar w:fldCharType="begin" w:fldLock="1"/>
      </w:r>
      <w:r w:rsidRPr="000A3584">
        <w:rPr>
          <w:rFonts w:ascii="Times" w:hAnsi="Times"/>
          <w:sz w:val="24"/>
        </w:rPr>
        <w:instrText>ADDIN CSL_CITATION { "citationItems" : [ { "id" : "ITEM-1", "itemData" : { "DOI" : "10.1016/j.cbpa.2011.06.022", "ISSN" : "1531-4332", "PMID" : "21742050", "abstract" : "Anthropogenic CO(2) emissions are acidifying the world's oceans. A growing body of evidence is showing that ocean acidification impacts growth and developmental rates of marine invertebrates. Here we test the impact of elevated seawater pCO(2) (129 Pa, 1271 \u03bcatm) on early development, larval metabolic and feeding rates in a marine model organism, the sea urchin Strongylocentrotus purpuratus. Growth and development was assessed by measuring total body length, body rod length, postoral rod length and posterolateral rod length. Comparing these parameters between treatments suggests that larvae suffer from a developmental delay (by ca. 8%) rather than from the previously postulated reductions in size at comparable developmental stages. Further, we found maximum increases in respiration rates of +100% under elevated pCO(2), while body length corrected feeding rates did not differ between larvae from both treatments. Calculating scope for growth illustrates that larvae raised under high pCO(2) spent an average of 39 to 45% of the available energy for somatic growth, while control larvae could allocate between 78 and 80% of the available energy into growth processes. Our results highlight the importance of defining a standard frame of reference when comparing a given parameter between treatments, as observed differences can be easily due to comparison of different larval ages with their specific set of biological characters.", "author" : [ { "dropping-particle" : "", "family" : "Stumpp", "given" : "M", "non-dropping-particle" : "", "parse-names" : false, "suffix" : "" }, { "dropping-particle" : "", "family" : "Wren", "given" : "J", "non-dropping-particle" : "", "parse-names" : false, "suffix" : "" }, { "dropping-particle" : "", "family" : "Melzner", "given" : "F", "non-dropping-particle" : "", "parse-names" : false, "suffix" : "" }, { "dropping-particle" : "", "family" : "Thorndyke", "given" : "M C", "non-dropping-particle" : "", "parse-names" : false, "suffix" : "" }, { "dropping-particle" : "", "family" : "Dupont", "given" : "S T", "non-dropping-particle" : "", "parse-names" : false, "suffix" : "" } ], "container-title" : "Comparative biochemistry and physiology. Part A, Molecular &amp; integrative physiology", "id" : "ITEM-1", "issue" : "3", "issued" : { "date-parts" : [ [ "2011", "11" ] ] }, "page" : "331-40", "publisher" : "Elsevier Inc.", "title" : "CO2 induced seawater acidification impacts sea urchin larval development I: elevated metabolic rates decrease scope for growth and induce developmental delay.", "type" : "article-journal", "volume" : "160" }, "uris" : [ "http://www.mendeley.com/documents/?uuid=72450747-c818-4139-a5f9-317554072700"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"mendeley" : { "manualFormatting" : "(e.g. Barton et al., 2012)", "previouslyFormattedCitation" : "(Barton, Hales, Waldbusser, Langdon, &amp; Feely, 2012; Stumpp, Wren, Melzner, Thorndyke, &amp; Dupont, 2011)" }, "properties" : { "noteIndex" : 0 }, "schema" : "https://github.com/citation-style-language/schema/raw/master/csl-citation.json" }</w:instrText>
      </w:r>
      <w:r w:rsidRPr="000A3584">
        <w:rPr>
          <w:rFonts w:ascii="Times" w:hAnsi="Times"/>
          <w:sz w:val="24"/>
        </w:rPr>
        <w:fldChar w:fldCharType="separate"/>
      </w:r>
      <w:r w:rsidRPr="000A3584">
        <w:rPr>
          <w:rFonts w:ascii="Times" w:hAnsi="Times"/>
          <w:noProof/>
          <w:sz w:val="24"/>
        </w:rPr>
        <w:t>(e.g. Barton et al., 2012)</w:t>
      </w:r>
      <w:r w:rsidRPr="000A3584">
        <w:rPr>
          <w:rFonts w:ascii="Times" w:hAnsi="Times"/>
          <w:sz w:val="24"/>
        </w:rPr>
        <w:fldChar w:fldCharType="end"/>
      </w:r>
      <w:r w:rsidRPr="000A3584">
        <w:rPr>
          <w:rFonts w:ascii="Times" w:hAnsi="Times"/>
          <w:sz w:val="24"/>
        </w:rPr>
        <w:t xml:space="preserve">, reduced shell deposition in most species </w:t>
      </w:r>
      <w:r w:rsidRPr="000A3584">
        <w:rPr>
          <w:rFonts w:ascii="Times" w:hAnsi="Times"/>
          <w:sz w:val="24"/>
        </w:rPr>
        <w:fldChar w:fldCharType="begin" w:fldLock="1"/>
      </w:r>
      <w:r w:rsidRPr="000A3584">
        <w:rPr>
          <w:rFonts w:ascii="Times" w:hAnsi="Times"/>
          <w:sz w:val="24"/>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"id" : "ITEM-2",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"ITEM-2",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"mendeley" : { "manualFormatting" : "(e.g. Gazeau et al., 2007; Melzner et al., 2011)", "previouslyFormattedCitation" : "(Gazeau et al., 2007; Frank Melzner et al., 2011)" }, "properties" : { "noteIndex" : 0 }, "schema" : "https://github.com/citation-style-language/schema/raw/master/csl-citation.json" }</w:instrText>
      </w:r>
      <w:r w:rsidRPr="000A3584">
        <w:rPr>
          <w:rFonts w:ascii="Times" w:hAnsi="Times"/>
          <w:sz w:val="24"/>
        </w:rPr>
        <w:fldChar w:fldCharType="separate"/>
      </w:r>
      <w:r w:rsidRPr="000A3584">
        <w:rPr>
          <w:rFonts w:ascii="Times" w:hAnsi="Times"/>
          <w:noProof/>
          <w:sz w:val="24"/>
        </w:rPr>
        <w:t>(e.g. Gazeau et al., 2007; Melzner et al., 2011)</w:t>
      </w:r>
      <w:r w:rsidRPr="000A3584">
        <w:rPr>
          <w:rFonts w:ascii="Times" w:hAnsi="Times"/>
          <w:sz w:val="24"/>
        </w:rPr>
        <w:fldChar w:fldCharType="end"/>
      </w:r>
      <w:r w:rsidRPr="000A3584">
        <w:rPr>
          <w:rFonts w:ascii="Times" w:hAnsi="Times"/>
          <w:sz w:val="24"/>
        </w:rPr>
        <w:t xml:space="preserve">, decreased integrity of the shell </w:t>
      </w:r>
      <w:r w:rsidRPr="000A3584">
        <w:rPr>
          <w:rFonts w:ascii="Times" w:hAnsi="Times"/>
          <w:sz w:val="24"/>
        </w:rPr>
        <w:fldChar w:fldCharType="begin" w:fldLock="1"/>
      </w:r>
      <w:r w:rsidRPr="000A3584">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"manualFormatting" : "(Dickinson et al., 2012; Dickinson et al., 2013)", "previouslyFormattedCitation" : "(Dickinson et al., 2012; Dickinson, Matoo, Tourek, Sokolova, &amp; Beniash, 2013)" }, "properties" : { "noteIndex" : 0 }, "schema" : "https://github.com/citation-style-language/schema/raw/master/csl-citation.json" }</w:instrText>
      </w:r>
      <w:r w:rsidRPr="000A3584">
        <w:rPr>
          <w:rFonts w:ascii="Times" w:hAnsi="Times"/>
          <w:sz w:val="24"/>
        </w:rPr>
        <w:fldChar w:fldCharType="separate"/>
      </w:r>
      <w:r w:rsidRPr="000A3584">
        <w:rPr>
          <w:rFonts w:ascii="Times" w:hAnsi="Times"/>
          <w:noProof/>
          <w:sz w:val="24"/>
        </w:rPr>
        <w:t>(Dickinson et al., 2012; Dickinson et al., 2013)</w:t>
      </w:r>
      <w:r w:rsidRPr="000A3584">
        <w:rPr>
          <w:rFonts w:ascii="Times" w:hAnsi="Times"/>
          <w:sz w:val="24"/>
        </w:rPr>
        <w:fldChar w:fldCharType="end"/>
      </w:r>
      <w:r w:rsidRPr="000A3584">
        <w:rPr>
          <w:rFonts w:ascii="Times" w:hAnsi="Times"/>
          <w:sz w:val="24"/>
        </w:rPr>
        <w:t xml:space="preserve"> and weakened attachment of byssal threads </w:t>
      </w:r>
      <w:r w:rsidRPr="000A3584">
        <w:rPr>
          <w:rFonts w:ascii="Times" w:hAnsi="Times"/>
          <w:sz w:val="24"/>
        </w:rPr>
        <w:fldChar w:fldCharType="begin" w:fldLock="1"/>
      </w:r>
      <w:r w:rsidRPr="000A3584">
        <w:rPr>
          <w:rFonts w:ascii="Times" w:hAnsi="Times"/>
          <w:sz w:val="24"/>
        </w:rPr>
        <w:instrText>ADDIN CSL_CITATION { "citationItems" : [ { "id" : "ITEM-1", "itemData" : { "DOI" : "10.1038/nclimate1846", "ISSN" : "1758-678X", "author" : [ { "dropping-particle" : "", "family" : "O\u2019Donnell", "given" : "Michael J.", "non-dropping-particle" : "", "parse-names" : false, "suffix" : "" }, { "dropping-particle" : "", "family" : "George", "given" : "Matthew N.", "non-dropping-particle" : "", "parse-names" : false, "suffix" : "" }, { "dropping-particle" : "", "family" : "Carrington", "given" : "Emily", "non-dropping-particle" : "", "parse-names" : false, "suffix" : "" } ], "container-title" : "Nature Climate Change", "id" : "ITEM-1", "issue" : "6", "issued" : { "date-parts" : [ [ "2013", "3", "10" ] ] }, "page" : "587-590", "publisher" : "Nature Publishing Group", "title" : "Mussel byssus attachment weakened by ocean\u00a0acidification", "type" : "article-journal", "volume" : "3" }, "uris" : [ "http://www.mendeley.com/documents/?uuid=75cdb341-cf65-4c82-b174-29d4e8b905f1" ] } ], "mendeley" : { "manualFormatting" : "(O\u2019Donnell et al., 2013)", "previouslyFormattedCitation" : "(O\u2019Donnell, George, &amp; Carrington, 2013)" }, "properties" : { "noteIndex" : 0 }, "schema" : "https://github.com/citation-style-language/schema/raw/master/csl-citation.json" }</w:instrText>
      </w:r>
      <w:r w:rsidRPr="000A3584">
        <w:rPr>
          <w:rFonts w:ascii="Times" w:hAnsi="Times"/>
          <w:sz w:val="24"/>
        </w:rPr>
        <w:fldChar w:fldCharType="separate"/>
      </w:r>
      <w:r w:rsidRPr="000A3584">
        <w:rPr>
          <w:rFonts w:ascii="Times" w:hAnsi="Times"/>
          <w:noProof/>
          <w:sz w:val="24"/>
        </w:rPr>
        <w:t>(O’Donnell et al., 2013)</w:t>
      </w:r>
      <w:r w:rsidRPr="000A3584">
        <w:rPr>
          <w:rFonts w:ascii="Times" w:hAnsi="Times"/>
          <w:sz w:val="24"/>
        </w:rPr>
        <w:fldChar w:fldCharType="end"/>
      </w:r>
      <w:r w:rsidRPr="000A3584">
        <w:rPr>
          <w:rFonts w:ascii="Times" w:hAnsi="Times"/>
          <w:sz w:val="24"/>
        </w:rPr>
        <w:t xml:space="preserve">.  In addition to phenotypic impacts, elevated </w:t>
      </w:r>
      <w:r w:rsidRPr="000A3584">
        <w:rPr>
          <w:rFonts w:ascii="Times" w:hAnsi="Times"/>
          <w:i/>
          <w:sz w:val="24"/>
        </w:rPr>
        <w:t>p</w:t>
      </w:r>
      <w:r w:rsidRPr="000A3584">
        <w:rPr>
          <w:rFonts w:ascii="Times" w:hAnsi="Times"/>
          <w:sz w:val="24"/>
        </w:rPr>
        <w:t>CO</w:t>
      </w:r>
      <w:r w:rsidRPr="000A3584">
        <w:rPr>
          <w:rFonts w:ascii="Times" w:hAnsi="Times"/>
          <w:sz w:val="24"/>
          <w:vertAlign w:val="subscript"/>
        </w:rPr>
        <w:t xml:space="preserve">2 </w:t>
      </w:r>
      <w:r w:rsidRPr="000A3584">
        <w:rPr>
          <w:rFonts w:ascii="Times" w:hAnsi="Times"/>
          <w:sz w:val="24"/>
        </w:rPr>
        <w:t xml:space="preserve">can result in significant shifts in marine invertebrate metabolism and resource utilization (e.g. </w:t>
      </w:r>
      <w:r w:rsidRPr="000A3584">
        <w:rPr>
          <w:rFonts w:ascii="Times" w:hAnsi="Times"/>
          <w:sz w:val="24"/>
        </w:rPr>
        <w:fldChar w:fldCharType="begin" w:fldLock="1"/>
      </w:r>
      <w:r w:rsidRPr="000A3584">
        <w:rPr>
          <w:rFonts w:ascii="Times" w:hAnsi="Times"/>
          <w:sz w:val="24"/>
        </w:rPr>
        <w:instrText>ADDIN CSL_CITATION { "citationItems" : [ { "id" : "ITEM-1", "itemData" : { "DOI" : "10.1016/j.cbpa.2011.06.022", "ISSN" : "1531-4332", "PMID" : "21742050", "abstract" : "Anthropogenic CO(2) emissions are acidifying the world's oceans. A growing body of evidence is showing that ocean acidification impacts growth and developmental rates of marine invertebrates. Here we test the impact of elevated seawater pCO(2) (129 Pa, 1271 \u03bcatm) on early development, larval metabolic and feeding rates in a marine model organism, the sea urchin Strongylocentrotus purpuratus. Growth and development was assessed by measuring total body length, body rod length, postoral rod length and posterolateral rod length. Comparing these parameters between treatments suggests that larvae suffer from a developmental delay (by ca. 8%) rather than from the previously postulated reductions in size at comparable developmental stages. Further, we found maximum increases in respiration rates of +100% under elevated pCO(2), while body length corrected feeding rates did not differ between larvae from both treatments. Calculating scope for growth illustrates that larvae raised under high pCO(2) spent an average of 39 to 45% of the available energy for somatic growth, while control larvae could allocate between 78 and 80% of the available energy into growth processes. Our results highlight the importance of defining a standard frame of reference when comparing a given parameter between treatments, as observed differences can be easily due to comparison of different larval ages with their specific set of biological characters.", "author" : [ { "dropping-particle" : "", "family" : "Stumpp", "given" : "M", "non-dropping-particle" : "", "parse-names" : false, "suffix" : "" }, { "dropping-particle" : "", "family" : "Wren", "given" : "J", "non-dropping-particle" : "", "parse-names" : false, "suffix" : "" }, { "dropping-particle" : "", "family" : "Melzner", "given" : "F", "non-dropping-particle" : "", "parse-names" : false, "suffix" : "" }, { "dropping-particle" : "", "family" : "Thorndyke", "given" : "M C", "non-dropping-particle" : "", "parse-names" : false, "suffix" : "" }, { "dropping-particle" : "", "family" : "Dupont", "given" : "S T", "non-dropping-particle" : "", "parse-names" : false, "suffix" : "" } ], "container-title" : "Comparative biochemistry and physiology. Part A, Molecular &amp; integrative physiology", "id" : "ITEM-1", "issue" : "3", "issued" : { "date-parts" : [ [ "2011", "11" ] ] }, "page" : "331-40", "publisher" : "Elsevier Inc.", "title" : "CO2 induced seawater acidification impacts sea urchin larval development I: elevated metabolic rates decrease scope for growth and induce developmental delay.", "type" : "article-journal", "volume" : "160" }, "uris" : [ "http://www.mendeley.com/documents/?uuid=72450747-c818-4139-a5f9-317554072700" ] } ], "mendeley" : { "manualFormatting" : "Stumpp et al., 2011)", "previouslyFormattedCitation" : "(Stumpp et al., 2011)" }, "properties" : { "noteIndex" : 0 }, "schema" : "https://github.com/citation-style-language/schema/raw/master/csl-citation.json" }</w:instrText>
      </w:r>
      <w:r w:rsidRPr="000A3584">
        <w:rPr>
          <w:rFonts w:ascii="Times" w:hAnsi="Times"/>
          <w:sz w:val="24"/>
        </w:rPr>
        <w:fldChar w:fldCharType="separate"/>
      </w:r>
      <w:r w:rsidRPr="000A3584">
        <w:rPr>
          <w:rFonts w:ascii="Times" w:hAnsi="Times"/>
          <w:noProof/>
          <w:sz w:val="24"/>
        </w:rPr>
        <w:t>Stumpp et al., 2011)</w:t>
      </w:r>
      <w:r w:rsidRPr="000A3584">
        <w:rPr>
          <w:rFonts w:ascii="Times" w:hAnsi="Times"/>
          <w:sz w:val="24"/>
        </w:rPr>
        <w:fldChar w:fldCharType="end"/>
      </w:r>
      <w:r w:rsidRPr="000A3584">
        <w:rPr>
          <w:rFonts w:ascii="Times" w:hAnsi="Times"/>
          <w:sz w:val="24"/>
        </w:rPr>
        <w:t>.</w:t>
      </w:r>
    </w:p>
    <w:p w14:paraId="4703FDF2" w14:textId="77777777" w:rsidR="000A3584" w:rsidRPr="000A3584" w:rsidRDefault="000A3584" w:rsidP="000A3584">
      <w:pPr>
        <w:pStyle w:val="normal0"/>
        <w:spacing w:line="360" w:lineRule="auto"/>
        <w:ind w:firstLine="720"/>
        <w:rPr>
          <w:rFonts w:ascii="Times" w:hAnsi="Times"/>
          <w:sz w:val="24"/>
        </w:rPr>
      </w:pPr>
      <w:r w:rsidRPr="000A3584">
        <w:rPr>
          <w:rFonts w:ascii="Times" w:hAnsi="Times"/>
          <w:sz w:val="24"/>
        </w:rPr>
        <w:t xml:space="preserve">The Pacific oyster, </w:t>
      </w:r>
      <w:r w:rsidRPr="000A3584">
        <w:rPr>
          <w:rFonts w:ascii="Times" w:hAnsi="Times"/>
          <w:i/>
          <w:sz w:val="24"/>
        </w:rPr>
        <w:t>Crassostrea gigas</w:t>
      </w:r>
      <w:r w:rsidRPr="000A3584">
        <w:rPr>
          <w:rFonts w:ascii="Times" w:hAnsi="Times"/>
          <w:sz w:val="24"/>
        </w:rPr>
        <w:t xml:space="preserve">, is a marine invertebrate that has been well studied in terms of its response to ocean acidification.  Larvae experience developmental delay and shell malformations in response to low pH </w:t>
      </w:r>
      <w:r w:rsidRPr="000A3584">
        <w:rPr>
          <w:rFonts w:ascii="Times" w:hAnsi="Times"/>
          <w:sz w:val="24"/>
        </w:rPr>
        <w:fldChar w:fldCharType="begin" w:fldLock="1"/>
      </w:r>
      <w:r w:rsidRPr="000A3584">
        <w:rPr>
          <w:rFonts w:ascii="Times" w:hAnsi="Times"/>
          <w:sz w:val="24"/>
        </w:rPr>
        <w:instrText>ADDIN CSL_CITATION { "citationItems" : [ { "id" : "ITEM-1",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"ITEM-1", "issue" : "8", "issued" : { "date-parts" : [ [ "2012", "10", "20" ] ] }, "page" : "1973-1982", "title" : "Elevated pCO2 causes developmental delay in early larval Pacific oysters, Crassostrea gigas", "type" : "article-journal", "volume" : "160" }, "uris" : [ "http://www.mendeley.com/documents/?uuid=63b29c03-5be1-4e8e-8e0d-a5a1de9e2232"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"ITEM-3", "itemData" : { "DOI" : "10.3354/ab00009", "ISSN" : "1864-7782", "author" : [ { "dropping-particle" : "", "family" : "Kurihara", "given" : "H", "non-dropping-particle" : "", "parse-names" : false, "suffix" : "" }, { "dropping-particle" : "", "family" : "Kato", "given" : "S", "non-dropping-particle" : "", "parse-names" : false, "suffix" : "" }, { "dropping-particle" : "", "family" : "Ishimatsu", "given" : "a", "non-dropping-particle" : "", "parse-names" : false, "suffix" : "" } ], "container-title" : "Aquatic Biology", "id" : "ITEM-3", "issue" : "1", "issued" : { "date-parts" : [ [ "2007", "10", "9" ] ] }, "page" : "91-98", "title" : "Effects of increased seawater pCO2 on early development of the oyster Crassostrea gigas", "type" : "article-journal", "volume" : "1" }, "uris" : [ "http://www.mendeley.com/documents/?uuid=f2a4fa5f-36e7-46a9-b536-012ed638a064" ] }, { "id" : "ITEM-4",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"ITEM-4",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"id" : "ITEM-5", "itemData" : { "DOI" : "10.1371/journal.pone.0023010", "ISSN" : "1932-6203", "PMID" : "21860666", "abstract" : "Ocean acidification, due to anthropogenic CO\u2082 absorption by the ocean, may have profound impacts on marine biota. Calcareous organisms are expected to be particularly sensitive due to the decreasing availability of carbonate ions driven by decreasing pH levels. Recently, some studies focused on the early life stages of mollusks that are supposedly more sensitive to environmental disturbances than adult stages. Although these studies have shown decreased growth rates and increased proportions of abnormal development under low pH conditions, they did not allow attribution to pH induced changes in physiology or changes due to a decrease in aragonite saturation state. This study aims to assess the impact of several carbonate-system perturbations on the growth of Pacific oyster (Crassostrea gigas) larvae during the first 3 days of development (until shelled D-veliger larvae). Seawater with five different chemistries was obtained by separately manipulating pH, total alkalinity and aragonite saturation state (calcium addition). Results showed that the developmental success and growth rates were not directly affected by changes in pH or aragonite saturation state but were highly correlated with the availability of carbonate ions. In contrast to previous studies, both developmental success into viable D-shaped larvae and growth rates were not significantly altered as long as carbonate ion concentrations were above aragonite saturation levels, but they strongly decreased below saturation levels. These results suggest that the mechanisms used by these organisms to regulate calcification rates are not efficient enough to compensate for the low availability of carbonate ions under corrosive conditions.", "author" : [ { "dropping-particle" : "", "family" : "Gazeau", "given" : "Fr\u00e9d\u00e9ric", "non-dropping-particle" : "", "parse-names" : false, "suffix" : "" }, { "dropping-particle" : "", "family" : "Gattuso", "given" : "Jean-Pierre", "non-dropping-particle" : "", "parse-names" : false, "suffix" : "" }, { "dropping-particle" : "", "family" : "Greaves", "given" : "Mervyn", "non-dropping-particle" : "", "parse-names" : false, "suffix" : "" }, { "dropping-particle" : "", "family" : "Elderfield", "given" : "Henry", "non-dropping-particle" : "", "parse-names" : false, "suffix" : "" }, { "dropping-particle" : "", "family" : "Peene", "given" : "Jan", "non-dropping-particle" : "", "parse-names" : false, "suffix" : "" }, { "dropping-particle" : "", "family" : "Heip", "given" : "Carlo H R", "non-dropping-particle" : "", "parse-names" : false, "suffix" : "" }, { "dropping-particle" : "", "family" : "Middelburg", "given" : "Jack J", "non-dropping-particle" : "", "parse-names" : false, "suffix" : "" } ], "container-title" : "PloS one", "id" : "ITEM-5", "issue" : "8", "issued" : { "date-parts" : [ [ "2011", "1" ] ] }, "page" : "e23010", "title" : "Effect of carbonate chemistry alteration on the early embryonic development of the Pacific oyster (Crassostrea gigas).", "type" : "article-journal", "volume" : "6" }, "uris" : [ "http://www.mendeley.com/documents/?uuid=c9cec4d9-904e-411d-ae4f-a67731e7386d" ] } ], "mendeley" : { "manualFormatting" : "(Barton et al., 2012; Gazeau et al., 2011; Kurihara et al., 2007; Parker et al., 2010; Timmins-Schiffman et al., 2013a)", "previouslyFormattedCitation" : "(Barton et al., 2012; Gazeau et al., 2011; Kurihara, Kato, &amp; Ishimatsu, 2007; Parker, Ross, &amp; O\u2019Connor, 2010; Emma Timmins-Schiffman, O\u2019Donnell, Friedman, &amp; Roberts, 2012)" }, "properties" : { "noteIndex" : 0 }, "schema" : "https://github.com/citation-style-language/schema/raw/master/csl-citation.json" }</w:instrText>
      </w:r>
      <w:r w:rsidRPr="000A3584">
        <w:rPr>
          <w:rFonts w:ascii="Times" w:hAnsi="Times"/>
          <w:sz w:val="24"/>
        </w:rPr>
        <w:fldChar w:fldCharType="separate"/>
      </w:r>
      <w:r w:rsidRPr="000A3584">
        <w:rPr>
          <w:rFonts w:ascii="Times" w:hAnsi="Times"/>
          <w:noProof/>
          <w:sz w:val="24"/>
        </w:rPr>
        <w:t>(Barton et al., 2012; Gazeau et al., 2011; Kurihara et al., 2007; Parker et al., 2010; Timmins-Schiffman et al., 2013a)</w:t>
      </w:r>
      <w:r w:rsidRPr="000A3584">
        <w:rPr>
          <w:rFonts w:ascii="Times" w:hAnsi="Times"/>
          <w:sz w:val="24"/>
        </w:rPr>
        <w:fldChar w:fldCharType="end"/>
      </w:r>
      <w:r w:rsidRPr="000A3584">
        <w:rPr>
          <w:rFonts w:ascii="Times" w:hAnsi="Times"/>
          <w:sz w:val="24"/>
        </w:rPr>
        <w:t xml:space="preserve">.  Adults are also affected negatively by ocean acidification.  Fertilization success is reduced at moderately elevated </w:t>
      </w:r>
      <w:r w:rsidRPr="000A3584">
        <w:rPr>
          <w:rFonts w:ascii="Times" w:hAnsi="Times"/>
          <w:i/>
          <w:sz w:val="24"/>
        </w:rPr>
        <w:t>p</w:t>
      </w:r>
      <w:r w:rsidRPr="000A3584">
        <w:rPr>
          <w:rFonts w:ascii="Times" w:hAnsi="Times"/>
          <w:sz w:val="24"/>
        </w:rPr>
        <w:t>CO</w:t>
      </w:r>
      <w:r w:rsidRPr="000A3584">
        <w:rPr>
          <w:rFonts w:ascii="Times" w:hAnsi="Times"/>
          <w:sz w:val="24"/>
          <w:vertAlign w:val="subscript"/>
        </w:rPr>
        <w:t>2</w:t>
      </w:r>
      <w:r w:rsidRPr="000A3584">
        <w:rPr>
          <w:rFonts w:ascii="Times" w:hAnsi="Times"/>
          <w:sz w:val="24"/>
        </w:rPr>
        <w:t xml:space="preserve"> (600 µatm) </w:t>
      </w:r>
      <w:r w:rsidRPr="000A3584">
        <w:rPr>
          <w:rFonts w:ascii="Times" w:hAnsi="Times"/>
          <w:sz w:val="24"/>
        </w:rPr>
        <w:fldChar w:fldCharType="begin" w:fldLock="1"/>
      </w:r>
      <w:r w:rsidRPr="000A3584">
        <w:rPr>
          <w:rFonts w:ascii="Times" w:hAnsi="Times"/>
          <w:sz w:val="24"/>
        </w:rPr>
        <w:instrText>ADDIN CSL_CITATION { "citationItems" : [ { "id" : "ITEM-1",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"ITEM-1",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"mendeley" : { "previouslyFormattedCitation" : "(Parker et al., 2010)" }, "properties" : { "noteIndex" : 0 }, "schema" : "https://github.com/citation-style-language/schema/raw/master/csl-citation.json" }</w:instrText>
      </w:r>
      <w:r w:rsidRPr="000A3584">
        <w:rPr>
          <w:rFonts w:ascii="Times" w:hAnsi="Times"/>
          <w:sz w:val="24"/>
        </w:rPr>
        <w:fldChar w:fldCharType="separate"/>
      </w:r>
      <w:r w:rsidRPr="000A3584">
        <w:rPr>
          <w:rFonts w:ascii="Times" w:hAnsi="Times"/>
          <w:noProof/>
          <w:sz w:val="24"/>
        </w:rPr>
        <w:t>(Parker et al., 2010)</w:t>
      </w:r>
      <w:r w:rsidRPr="000A3584">
        <w:rPr>
          <w:rFonts w:ascii="Times" w:hAnsi="Times"/>
          <w:sz w:val="24"/>
        </w:rPr>
        <w:fldChar w:fldCharType="end"/>
      </w:r>
      <w:r w:rsidRPr="000A3584">
        <w:rPr>
          <w:rFonts w:ascii="Times" w:hAnsi="Times"/>
          <w:sz w:val="24"/>
        </w:rPr>
        <w:t xml:space="preserve">.  Calcification rates for adult </w:t>
      </w:r>
      <w:r w:rsidRPr="000A3584">
        <w:rPr>
          <w:rFonts w:ascii="Times" w:hAnsi="Times"/>
          <w:i/>
          <w:sz w:val="24"/>
        </w:rPr>
        <w:t>C. gigas</w:t>
      </w:r>
      <w:r w:rsidRPr="000A3584">
        <w:rPr>
          <w:rFonts w:ascii="Times" w:hAnsi="Times"/>
          <w:sz w:val="24"/>
        </w:rPr>
        <w:t xml:space="preserve"> decrease linearly with increasing </w:t>
      </w:r>
      <w:r w:rsidRPr="000A3584">
        <w:rPr>
          <w:rFonts w:ascii="Times" w:hAnsi="Times"/>
          <w:i/>
          <w:sz w:val="24"/>
        </w:rPr>
        <w:t>p</w:t>
      </w:r>
      <w:r w:rsidRPr="000A3584">
        <w:rPr>
          <w:rFonts w:ascii="Times" w:hAnsi="Times"/>
          <w:sz w:val="24"/>
        </w:rPr>
        <w:t>CO</w:t>
      </w:r>
      <w:r w:rsidRPr="000A3584">
        <w:rPr>
          <w:rFonts w:ascii="Times" w:hAnsi="Times"/>
          <w:sz w:val="24"/>
          <w:vertAlign w:val="subscript"/>
        </w:rPr>
        <w:t xml:space="preserve">2 </w:t>
      </w:r>
      <w:r w:rsidRPr="000A3584">
        <w:rPr>
          <w:rFonts w:ascii="Times" w:hAnsi="Times"/>
          <w:sz w:val="24"/>
        </w:rPr>
        <w:fldChar w:fldCharType="begin" w:fldLock="1"/>
      </w:r>
      <w:r w:rsidRPr="000A3584">
        <w:rPr>
          <w:rFonts w:ascii="Times" w:hAnsi="Times"/>
          <w:sz w:val="24"/>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"mendeley" : { "previouslyFormattedCitation" : "(Gazeau et al., 2007)" }, "properties" : { "noteIndex" : 0 }, "schema" : "https://github.com/citation-style-language/schema/raw/master/csl-citation.json" }</w:instrText>
      </w:r>
      <w:r w:rsidRPr="000A3584">
        <w:rPr>
          <w:rFonts w:ascii="Times" w:hAnsi="Times"/>
          <w:sz w:val="24"/>
        </w:rPr>
        <w:fldChar w:fldCharType="separate"/>
      </w:r>
      <w:r w:rsidRPr="000A3584">
        <w:rPr>
          <w:rFonts w:ascii="Times" w:hAnsi="Times"/>
          <w:noProof/>
          <w:sz w:val="24"/>
        </w:rPr>
        <w:t>(Gazeau et al., 2007)</w:t>
      </w:r>
      <w:r w:rsidRPr="000A3584">
        <w:rPr>
          <w:rFonts w:ascii="Times" w:hAnsi="Times"/>
          <w:sz w:val="24"/>
        </w:rPr>
        <w:fldChar w:fldCharType="end"/>
      </w:r>
      <w:r w:rsidRPr="000A3584">
        <w:rPr>
          <w:rFonts w:ascii="Times" w:hAnsi="Times"/>
          <w:sz w:val="24"/>
        </w:rPr>
        <w:t xml:space="preserve">.  Reduced pH also alters response to other environmental variables.  The standard metabolic rate of Pacific oysters at low pH was significantly elevated in response to increasing temperature compared to oysters at ambient pH </w:t>
      </w:r>
      <w:r w:rsidRPr="000A3584">
        <w:rPr>
          <w:rFonts w:ascii="Times" w:hAnsi="Times"/>
          <w:sz w:val="24"/>
        </w:rPr>
        <w:fldChar w:fldCharType="begin" w:fldLock="1"/>
      </w:r>
      <w:r w:rsidRPr="000A3584">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"manualFormatting" : "(Lannig et al., 2010)", "previouslyFormattedCitation" : "(Lannig, Eilers, P\u00f6rtner, Sokolova, &amp; Bock, 2010)" }, "properties" : { "noteIndex" : 0 }, "schema" : "https://github.com/citation-style-language/schema/raw/master/csl-citation.json" }</w:instrText>
      </w:r>
      <w:r w:rsidRPr="000A3584">
        <w:rPr>
          <w:rFonts w:ascii="Times" w:hAnsi="Times"/>
          <w:sz w:val="24"/>
        </w:rPr>
        <w:fldChar w:fldCharType="separate"/>
      </w:r>
      <w:r w:rsidRPr="000A3584">
        <w:rPr>
          <w:rFonts w:ascii="Times" w:hAnsi="Times"/>
          <w:noProof/>
          <w:sz w:val="24"/>
        </w:rPr>
        <w:t>(Lannig et al., 2010)</w:t>
      </w:r>
      <w:r w:rsidRPr="000A3584">
        <w:rPr>
          <w:rFonts w:ascii="Times" w:hAnsi="Times"/>
          <w:sz w:val="24"/>
        </w:rPr>
        <w:fldChar w:fldCharType="end"/>
      </w:r>
      <w:r w:rsidRPr="000A3584">
        <w:rPr>
          <w:rFonts w:ascii="Times" w:hAnsi="Times"/>
          <w:sz w:val="24"/>
        </w:rPr>
        <w:t xml:space="preserve">.  Such studies illustrate that ocean acidification causes profound physiological changes in </w:t>
      </w:r>
      <w:r w:rsidRPr="000A3584">
        <w:rPr>
          <w:rFonts w:ascii="Times" w:hAnsi="Times"/>
          <w:i/>
          <w:sz w:val="24"/>
        </w:rPr>
        <w:t>C. gigas</w:t>
      </w:r>
      <w:r w:rsidRPr="000A3584">
        <w:rPr>
          <w:rFonts w:ascii="Times" w:hAnsi="Times"/>
          <w:sz w:val="24"/>
        </w:rPr>
        <w:t xml:space="preserve"> that may have long-term consequences on fitness.  </w:t>
      </w:r>
    </w:p>
    <w:p w14:paraId="7F3201BB" w14:textId="77777777" w:rsidR="000A3584" w:rsidRPr="000A3584" w:rsidRDefault="000A3584" w:rsidP="000A3584">
      <w:pPr>
        <w:pStyle w:val="normal0"/>
        <w:spacing w:line="360" w:lineRule="auto"/>
        <w:ind w:firstLine="720"/>
        <w:rPr>
          <w:rFonts w:ascii="Times" w:hAnsi="Times"/>
          <w:sz w:val="24"/>
        </w:rPr>
      </w:pPr>
      <w:bookmarkStart w:id="51" w:name="OLE_LINK7"/>
      <w:bookmarkStart w:id="52" w:name="OLE_LINK8"/>
      <w:r w:rsidRPr="000A3584">
        <w:rPr>
          <w:rFonts w:ascii="Times" w:hAnsi="Times"/>
          <w:sz w:val="24"/>
        </w:rPr>
        <w:t xml:space="preserve">To examine the underlying processes associated with the biological impacts of ocean acidification on marine invertebrates, the current study takes an integrative approach in examining the response of adult oysters from alterations in protein expression to shell deposition rates.  Oysters were exposed to one of four </w:t>
      </w:r>
      <w:r w:rsidRPr="000A3584">
        <w:rPr>
          <w:rFonts w:ascii="Times" w:hAnsi="Times"/>
          <w:i/>
          <w:sz w:val="24"/>
        </w:rPr>
        <w:t>p</w:t>
      </w:r>
      <w:r w:rsidRPr="000A3584">
        <w:rPr>
          <w:rFonts w:ascii="Times" w:hAnsi="Times"/>
          <w:sz w:val="24"/>
        </w:rPr>
        <w:t>CO</w:t>
      </w:r>
      <w:r w:rsidRPr="000A3584">
        <w:rPr>
          <w:rFonts w:ascii="Times" w:hAnsi="Times"/>
          <w:sz w:val="24"/>
          <w:vertAlign w:val="subscript"/>
        </w:rPr>
        <w:t xml:space="preserve">2 </w:t>
      </w:r>
      <w:r w:rsidRPr="000A3584">
        <w:rPr>
          <w:rFonts w:ascii="Times" w:hAnsi="Times"/>
          <w:sz w:val="24"/>
        </w:rPr>
        <w:t xml:space="preserve">levels for one month: 400, 800, 1000, or 2800 µatm.  The </w:t>
      </w:r>
      <w:r w:rsidRPr="000A3584">
        <w:rPr>
          <w:rFonts w:ascii="Times" w:hAnsi="Times"/>
          <w:i/>
          <w:sz w:val="24"/>
        </w:rPr>
        <w:t>p</w:t>
      </w:r>
      <w:r w:rsidRPr="000A3584">
        <w:rPr>
          <w:rFonts w:ascii="Times" w:hAnsi="Times"/>
          <w:sz w:val="24"/>
        </w:rPr>
        <w:t>CO</w:t>
      </w:r>
      <w:r w:rsidRPr="000A3584">
        <w:rPr>
          <w:rFonts w:ascii="Times" w:hAnsi="Times"/>
          <w:sz w:val="24"/>
          <w:vertAlign w:val="subscript"/>
        </w:rPr>
        <w:t xml:space="preserve">2 </w:t>
      </w:r>
      <w:r w:rsidRPr="000A3584">
        <w:rPr>
          <w:rFonts w:ascii="Times" w:hAnsi="Times"/>
          <w:sz w:val="24"/>
        </w:rPr>
        <w:t xml:space="preserve">values represent approximate current-day surface ocean </w:t>
      </w:r>
      <w:r w:rsidRPr="000A3584">
        <w:rPr>
          <w:rFonts w:ascii="Times" w:hAnsi="Times"/>
          <w:i/>
          <w:sz w:val="24"/>
        </w:rPr>
        <w:t>p</w:t>
      </w:r>
      <w:r w:rsidRPr="000A3584">
        <w:rPr>
          <w:rFonts w:ascii="Times" w:hAnsi="Times"/>
          <w:sz w:val="24"/>
        </w:rPr>
        <w:t>CO</w:t>
      </w:r>
      <w:r w:rsidRPr="000A3584">
        <w:rPr>
          <w:rFonts w:ascii="Times" w:hAnsi="Times"/>
          <w:sz w:val="24"/>
          <w:vertAlign w:val="subscript"/>
        </w:rPr>
        <w:t>2</w:t>
      </w:r>
      <w:r w:rsidRPr="000A3584">
        <w:rPr>
          <w:rFonts w:ascii="Times" w:hAnsi="Times"/>
          <w:sz w:val="24"/>
        </w:rPr>
        <w:t xml:space="preserve"> (400 µatm) and three elevated values reflecting potential end-of-century scenarios as well as </w:t>
      </w:r>
      <w:r w:rsidRPr="000A3584">
        <w:rPr>
          <w:rFonts w:ascii="Times" w:hAnsi="Times"/>
          <w:i/>
          <w:sz w:val="24"/>
        </w:rPr>
        <w:t>p</w:t>
      </w:r>
      <w:r w:rsidRPr="000A3584">
        <w:rPr>
          <w:rFonts w:ascii="Times" w:hAnsi="Times"/>
          <w:sz w:val="24"/>
        </w:rPr>
        <w:t>CO</w:t>
      </w:r>
      <w:r w:rsidRPr="000A3584">
        <w:rPr>
          <w:rFonts w:ascii="Times" w:hAnsi="Times"/>
          <w:sz w:val="24"/>
          <w:vertAlign w:val="subscript"/>
        </w:rPr>
        <w:t xml:space="preserve">2 </w:t>
      </w:r>
      <w:r w:rsidRPr="000A3584">
        <w:rPr>
          <w:rFonts w:ascii="Times" w:hAnsi="Times"/>
          <w:sz w:val="24"/>
        </w:rPr>
        <w:t xml:space="preserve">variation that is currently experienced in the nearshore environment.  At the end of one month the impacts of elevated </w:t>
      </w:r>
      <w:r w:rsidRPr="000A3584">
        <w:rPr>
          <w:rFonts w:ascii="Times" w:hAnsi="Times"/>
          <w:i/>
          <w:sz w:val="24"/>
        </w:rPr>
        <w:t>p</w:t>
      </w:r>
      <w:r w:rsidRPr="000A3584">
        <w:rPr>
          <w:rFonts w:ascii="Times" w:hAnsi="Times"/>
          <w:sz w:val="24"/>
        </w:rPr>
        <w:t>CO</w:t>
      </w:r>
      <w:r w:rsidRPr="000A3584">
        <w:rPr>
          <w:rFonts w:ascii="Times" w:hAnsi="Times"/>
          <w:sz w:val="24"/>
          <w:vertAlign w:val="subscript"/>
        </w:rPr>
        <w:t xml:space="preserve">2 </w:t>
      </w:r>
      <w:r w:rsidRPr="000A3584">
        <w:rPr>
          <w:rFonts w:ascii="Times" w:hAnsi="Times"/>
          <w:sz w:val="24"/>
        </w:rPr>
        <w:t>on shell growth, shell micromechanical properties, lipid metabolism, glycogen metabolism, response to acute heat shock, and response to mechanical stress were assessed</w:t>
      </w:r>
      <w:bookmarkEnd w:id="51"/>
      <w:bookmarkEnd w:id="52"/>
      <w:r w:rsidRPr="000A3584">
        <w:rPr>
          <w:rFonts w:ascii="Times" w:hAnsi="Times"/>
          <w:sz w:val="24"/>
        </w:rPr>
        <w:t xml:space="preserve">.  </w:t>
      </w:r>
    </w:p>
    <w:p w14:paraId="65B7EA91" w14:textId="3C795473" w:rsidR="00426D9F" w:rsidRPr="000A3584" w:rsidRDefault="000A3584" w:rsidP="000A3584">
      <w:pPr>
        <w:pStyle w:val="normal0"/>
        <w:spacing w:line="360" w:lineRule="auto"/>
        <w:rPr>
          <w:rFonts w:ascii="Times" w:hAnsi="Times"/>
          <w:sz w:val="24"/>
        </w:rPr>
      </w:pPr>
      <w:r w:rsidRPr="000A3584">
        <w:rPr>
          <w:rFonts w:ascii="Times" w:hAnsi="Times"/>
          <w:sz w:val="24"/>
        </w:rPr>
        <w:tab/>
        <w:t>By taking this integrative approach, these data highlight the complex nature of phenotypic impacts of ocean acidification, while at the same time uncovering the less accessible underlying physiological processes.  The latter was made possible by the use of shotgun proteomics, applied for the first time in an investigation of the effects of ocean acidification.  Shotgun proteomics is a powerful non-biased approach in the investigation of biological responses, which also offers insight into underlying mechanisms that could lead to phenotypic effects.  Together these data demonstrate the scope of effects that ocean acidification can have on a marine invertebrate.</w:t>
      </w:r>
      <w:r w:rsidR="00EA3E29" w:rsidRPr="000A3584">
        <w:rPr>
          <w:rFonts w:ascii="Times" w:hAnsi="Times"/>
          <w:sz w:val="24"/>
        </w:rPr>
        <w:t xml:space="preserve"> </w:t>
      </w:r>
      <w:r w:rsidR="00426D9F" w:rsidRPr="000A3584">
        <w:rPr>
          <w:rFonts w:ascii="Times" w:hAnsi="Times"/>
          <w:sz w:val="24"/>
        </w:rPr>
        <w:t xml:space="preserve">  </w:t>
      </w:r>
    </w:p>
    <w:p w14:paraId="3C652AFA" w14:textId="4A6C1CCD" w:rsidR="00426D9F" w:rsidRDefault="00C02D9B" w:rsidP="00426D9F">
      <w:pPr>
        <w:pStyle w:val="Heading2"/>
      </w:pPr>
      <w:bookmarkStart w:id="53" w:name="_Toc257278805"/>
      <w:r>
        <w:t>Methods</w:t>
      </w:r>
      <w:bookmarkEnd w:id="53"/>
    </w:p>
    <w:p w14:paraId="29F86A65" w14:textId="09AB13FB" w:rsidR="00732DA8" w:rsidRDefault="00732DA8" w:rsidP="00732DA8">
      <w:pPr>
        <w:pStyle w:val="Heading3"/>
      </w:pPr>
      <w:bookmarkStart w:id="54" w:name="_Toc257278806"/>
      <w:r>
        <w:t>Ocean acidification system</w:t>
      </w:r>
      <w:bookmarkEnd w:id="54"/>
    </w:p>
    <w:p w14:paraId="365AAC82" w14:textId="77777777" w:rsidR="00C85C10" w:rsidRPr="00C85C10" w:rsidRDefault="00C85C10" w:rsidP="00C85C10"/>
    <w:p w14:paraId="7F21FB8E" w14:textId="700BCB1A" w:rsidR="00426D9F" w:rsidRPr="000A3584" w:rsidRDefault="000A3584" w:rsidP="00426D9F">
      <w:pPr>
        <w:pStyle w:val="normal0"/>
        <w:spacing w:line="360" w:lineRule="auto"/>
        <w:rPr>
          <w:rFonts w:ascii="Times" w:hAnsi="Times"/>
          <w:sz w:val="24"/>
        </w:rPr>
      </w:pPr>
      <w:r w:rsidRPr="000A3584">
        <w:rPr>
          <w:rFonts w:ascii="Times" w:hAnsi="Times"/>
          <w:sz w:val="24"/>
        </w:rPr>
        <w:t xml:space="preserve">This experiment was conducted at the Friday Harbor Labs Ocean Acidification Environmental Laboratory, Friday Harbor, Washington, USA where oysters were exposed to </w:t>
      </w:r>
      <w:r w:rsidRPr="000A3584">
        <w:rPr>
          <w:rFonts w:ascii="Times" w:hAnsi="Times"/>
          <w:i/>
          <w:sz w:val="24"/>
        </w:rPr>
        <w:t>p</w:t>
      </w:r>
      <w:r w:rsidRPr="000A3584">
        <w:rPr>
          <w:rFonts w:ascii="Times" w:hAnsi="Times"/>
          <w:sz w:val="24"/>
        </w:rPr>
        <w:t>CO</w:t>
      </w:r>
      <w:r w:rsidRPr="000A3584">
        <w:rPr>
          <w:rFonts w:ascii="Times" w:hAnsi="Times"/>
          <w:sz w:val="24"/>
          <w:vertAlign w:val="subscript"/>
        </w:rPr>
        <w:t xml:space="preserve">2 </w:t>
      </w:r>
      <w:r w:rsidRPr="000A3584">
        <w:rPr>
          <w:rFonts w:ascii="Times" w:hAnsi="Times"/>
          <w:sz w:val="24"/>
        </w:rPr>
        <w:t xml:space="preserve">values of 400 µatm, 800 µatm, 1000 µatm, or 2800 µatm.  The system and control of water chemistry has been previously described in detail </w:t>
      </w:r>
      <w:r w:rsidRPr="000A3584">
        <w:rPr>
          <w:rFonts w:ascii="Times" w:hAnsi="Times"/>
          <w:sz w:val="24"/>
        </w:rPr>
        <w:fldChar w:fldCharType="begin" w:fldLock="1"/>
      </w:r>
      <w:r w:rsidRPr="000A3584">
        <w:rPr>
          <w:rFonts w:ascii="Times" w:hAnsi="Times"/>
          <w:sz w:val="24"/>
        </w:rPr>
        <w:instrText>ADDIN CSL_CITATION { "citationItems" : [ { "id" : "ITEM-1",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"ITEM-1", "issue" : "8", "issued" : { "date-parts" : [ [ "2012", "10", "20" ] ] }, "page" : "1973-1982", "title" : "Elevated pCO2 causes developmental delay in early larval Pacific oysters, Crassostrea gigas", "type" : "article-journal", "volume" : "160" }, "uris" : [ "http://www.mendeley.com/documents/?uuid=63b29c03-5be1-4e8e-8e0d-a5a1de9e2232" ] }, { "id" : "ITEM-2", "itemData" : { "DOI" : "10.1038/nclimate1846", "ISSN" : "1758-678X", "author" : [ { "dropping-particle" : "", "family" : "O\u2019Donnell", "given" : "Michael J.", "non-dropping-particle" : "", "parse-names" : false, "suffix" : "" }, { "dropping-particle" : "", "family" : "George", "given" : "Matthew N.", "non-dropping-particle" : "", "parse-names" : false, "suffix" : "" }, { "dropping-particle" : "", "family" : "Carrington", "given" : "Emily", "non-dropping-particle" : "", "parse-names" : false, "suffix" : "" } ], "container-title" : "Nature Climate Change", "id" : "ITEM-2", "issue" : "6", "issued" : { "date-parts" : [ [ "2013", "3", "10" ] ] }, "page" : "587-590", "publisher" : "Nature Publishing Group", "title" : "Mussel byssus attachment weakened by ocean\u00a0acidification", "type" : "article-journal", "volume" : "3" }, "uris" : [ "http://www.mendeley.com/documents/?uuid=75cdb341-cf65-4c82-b174-29d4e8b905f1" ] } ], "mendeley" : { "manualFormatting" : "(O\u2019Donnell et al., 2013; Timmins-Schiffman et al., 2013a)", "previouslyFormattedCitation" : "(O\u2019Donnell et al., 2013; Emma Timmins-Schiffman et al., 2012)" }, "properties" : { "noteIndex" : 0 }, "schema" : "https://github.com/citation-style-language/schema/raw/master/csl-citation.json" }</w:instrText>
      </w:r>
      <w:r w:rsidRPr="000A3584">
        <w:rPr>
          <w:rFonts w:ascii="Times" w:hAnsi="Times"/>
          <w:sz w:val="24"/>
        </w:rPr>
        <w:fldChar w:fldCharType="separate"/>
      </w:r>
      <w:r w:rsidRPr="000A3584">
        <w:rPr>
          <w:rFonts w:ascii="Times" w:hAnsi="Times"/>
          <w:noProof/>
          <w:sz w:val="24"/>
        </w:rPr>
        <w:t>(O’Donnell et al., 2013; Timmins-Schiffman et al., 2013a)</w:t>
      </w:r>
      <w:r w:rsidRPr="000A3584">
        <w:rPr>
          <w:rFonts w:ascii="Times" w:hAnsi="Times"/>
          <w:sz w:val="24"/>
        </w:rPr>
        <w:fldChar w:fldCharType="end"/>
      </w:r>
      <w:r w:rsidRPr="000A3584">
        <w:rPr>
          <w:rFonts w:ascii="Times" w:hAnsi="Times"/>
          <w:sz w:val="24"/>
        </w:rPr>
        <w:t>. Briefly, incoming water was filtered (0.2 µm) and stripped of CO</w:t>
      </w:r>
      <w:r w:rsidRPr="000A3584">
        <w:rPr>
          <w:rFonts w:ascii="Times" w:hAnsi="Times"/>
          <w:sz w:val="24"/>
          <w:vertAlign w:val="subscript"/>
        </w:rPr>
        <w:t>2</w:t>
      </w:r>
      <w:r w:rsidRPr="000A3584">
        <w:rPr>
          <w:rFonts w:ascii="Times" w:hAnsi="Times"/>
          <w:sz w:val="24"/>
        </w:rPr>
        <w:t>. As the water flowed into the different treatment tanks, CO</w:t>
      </w:r>
      <w:r w:rsidRPr="000A3584">
        <w:rPr>
          <w:rFonts w:ascii="Times" w:hAnsi="Times"/>
          <w:sz w:val="24"/>
          <w:vertAlign w:val="subscript"/>
        </w:rPr>
        <w:t>2</w:t>
      </w:r>
      <w:r w:rsidRPr="000A3584">
        <w:rPr>
          <w:rFonts w:ascii="Times" w:hAnsi="Times"/>
          <w:sz w:val="24"/>
        </w:rPr>
        <w:t>-free air and CO</w:t>
      </w:r>
      <w:r w:rsidRPr="000A3584">
        <w:rPr>
          <w:rFonts w:ascii="Times" w:hAnsi="Times"/>
          <w:sz w:val="24"/>
          <w:vertAlign w:val="subscript"/>
        </w:rPr>
        <w:t>2</w:t>
      </w:r>
      <w:r w:rsidRPr="000A3584">
        <w:rPr>
          <w:rFonts w:ascii="Times" w:hAnsi="Times"/>
          <w:sz w:val="24"/>
        </w:rPr>
        <w:t xml:space="preserve"> were added back to reach set points that were continuously monitored by a DuraFET III pH probe (Honeywell, Morristown, NJ, USA).  From the treatment tanks, water flowed into the eight replicate chambers for each of the four treatment levels at 57.5 mL/min.  For this experiment, set points were calculated for 13°C and estimated total alkalinity (A</w:t>
      </w:r>
      <w:r w:rsidRPr="000A3584">
        <w:rPr>
          <w:rFonts w:ascii="Times" w:hAnsi="Times"/>
          <w:sz w:val="24"/>
          <w:vertAlign w:val="subscript"/>
        </w:rPr>
        <w:t>T</w:t>
      </w:r>
      <w:r w:rsidRPr="000A3584">
        <w:rPr>
          <w:rFonts w:ascii="Times" w:hAnsi="Times"/>
          <w:sz w:val="24"/>
        </w:rPr>
        <w:t xml:space="preserve">) of 2100 µmol/kg for </w:t>
      </w:r>
      <w:r w:rsidRPr="000A3584">
        <w:rPr>
          <w:rFonts w:ascii="Times" w:hAnsi="Times"/>
          <w:i/>
          <w:sz w:val="24"/>
        </w:rPr>
        <w:t>p</w:t>
      </w:r>
      <w:r w:rsidRPr="000A3584">
        <w:rPr>
          <w:rFonts w:ascii="Times" w:hAnsi="Times"/>
          <w:sz w:val="24"/>
        </w:rPr>
        <w:t>CO</w:t>
      </w:r>
      <w:r w:rsidRPr="000A3584">
        <w:rPr>
          <w:rFonts w:ascii="Times" w:hAnsi="Times"/>
          <w:sz w:val="24"/>
          <w:vertAlign w:val="subscript"/>
        </w:rPr>
        <w:t xml:space="preserve">2 </w:t>
      </w:r>
      <w:r w:rsidRPr="000A3584">
        <w:rPr>
          <w:rFonts w:ascii="Times" w:hAnsi="Times"/>
          <w:sz w:val="24"/>
        </w:rPr>
        <w:t>values of 400 µatm (pH 8.03), 800 µatm (pH 7.76), 1000 µatm (pH 7.67), and 2800 µatm (pH 7.24).</w:t>
      </w:r>
    </w:p>
    <w:p w14:paraId="0F7BAA6C" w14:textId="77777777" w:rsidR="000A3584" w:rsidRDefault="000A3584" w:rsidP="00732DA8">
      <w:pPr>
        <w:rPr>
          <w:i/>
        </w:rPr>
      </w:pPr>
    </w:p>
    <w:p w14:paraId="6A1458AA" w14:textId="39EC77B7" w:rsidR="00732DA8" w:rsidRDefault="00426D9F" w:rsidP="00732DA8">
      <w:pPr>
        <w:rPr>
          <w:i/>
        </w:rPr>
      </w:pPr>
      <w:r>
        <w:rPr>
          <w:i/>
        </w:rPr>
        <w:t>Seawater Chemistry Analysis</w:t>
      </w:r>
    </w:p>
    <w:p w14:paraId="34147178" w14:textId="77777777" w:rsidR="00426D9F" w:rsidRDefault="00426D9F" w:rsidP="00732DA8">
      <w:pPr>
        <w:rPr>
          <w:i/>
        </w:rPr>
      </w:pPr>
    </w:p>
    <w:p w14:paraId="2D226263" w14:textId="02C8EA32" w:rsidR="007C548F" w:rsidRPr="007C548F" w:rsidRDefault="000A3584" w:rsidP="006259AF">
      <w:pPr>
        <w:pStyle w:val="normal0"/>
        <w:spacing w:line="360" w:lineRule="auto"/>
        <w:ind w:firstLine="720"/>
        <w:rPr>
          <w:rFonts w:ascii="Times" w:hAnsi="Times"/>
          <w:sz w:val="24"/>
        </w:rPr>
      </w:pPr>
      <w:r w:rsidRPr="000A3584">
        <w:rPr>
          <w:rFonts w:ascii="Times" w:hAnsi="Times"/>
          <w:sz w:val="24"/>
        </w:rPr>
        <w:t>Spectrophotometric pH was measured for all treatments 19 out of the 29 days of the experiment as described in SOP 6b by Dickson et al. (2007).  On days 5, 7, 11, 14, 20, 24, and 26 spectrophotometric pH was used to measure the pH of the water inside two of the eight experimental chambers per treatment to ensure consistency with set points.  Salinity was recorded with a conductivity meter (Hach sensION5, Loveland, CO, USA) and treatment temperature was verified with a Fluke 1523 thermometer (Fluke, Everett, WA, USA) whenever spectrophotometric pH was measured.  Total alkalinity (A</w:t>
      </w:r>
      <w:r w:rsidRPr="000A3584">
        <w:rPr>
          <w:rFonts w:ascii="Times" w:hAnsi="Times"/>
          <w:sz w:val="24"/>
          <w:vertAlign w:val="subscript"/>
        </w:rPr>
        <w:t>T</w:t>
      </w:r>
      <w:r w:rsidRPr="000A3584">
        <w:rPr>
          <w:rFonts w:ascii="Times" w:hAnsi="Times"/>
          <w:sz w:val="24"/>
        </w:rPr>
        <w:t>) was measured using an open cell titration as described in SOP 3b (Dickson et al. 2007) for the treatment reservoir water and for two chambers on days 5, 11, 20, and 26.  If the A</w:t>
      </w:r>
      <w:r w:rsidRPr="000A3584">
        <w:rPr>
          <w:rFonts w:ascii="Times" w:hAnsi="Times"/>
          <w:sz w:val="24"/>
          <w:vertAlign w:val="subscript"/>
        </w:rPr>
        <w:t>T</w:t>
      </w:r>
      <w:r w:rsidRPr="000A3584">
        <w:rPr>
          <w:rFonts w:ascii="Times" w:hAnsi="Times"/>
          <w:sz w:val="24"/>
        </w:rPr>
        <w:t xml:space="preserve"> titration was not done on the day of collection, the water sample was poisoned with mercuric chloride and stored in a sealed borosilicate glass jar.  CO</w:t>
      </w:r>
      <w:r w:rsidRPr="000A3584">
        <w:rPr>
          <w:rFonts w:ascii="Times" w:hAnsi="Times"/>
          <w:sz w:val="24"/>
          <w:vertAlign w:val="subscript"/>
        </w:rPr>
        <w:t>2</w:t>
      </w:r>
      <w:r w:rsidRPr="000A3584">
        <w:rPr>
          <w:rFonts w:ascii="Times" w:hAnsi="Times"/>
          <w:sz w:val="24"/>
        </w:rPr>
        <w:t xml:space="preserve">calc (Robbins et al. 2010) was used to calculate calcium carbonate saturation state of aragonite and calcite, carbonate ion concentration, and </w:t>
      </w:r>
      <w:r w:rsidRPr="000A3584">
        <w:rPr>
          <w:rFonts w:ascii="Times" w:hAnsi="Times"/>
          <w:i/>
          <w:sz w:val="24"/>
        </w:rPr>
        <w:t>p</w:t>
      </w:r>
      <w:r w:rsidRPr="000A3584">
        <w:rPr>
          <w:rFonts w:ascii="Times" w:hAnsi="Times"/>
          <w:sz w:val="24"/>
        </w:rPr>
        <w:t>CO</w:t>
      </w:r>
      <w:r w:rsidRPr="000A3584">
        <w:rPr>
          <w:rFonts w:ascii="Times" w:hAnsi="Times"/>
          <w:sz w:val="24"/>
          <w:vertAlign w:val="subscript"/>
        </w:rPr>
        <w:t xml:space="preserve">2 </w:t>
      </w:r>
      <w:r w:rsidRPr="000A3584">
        <w:rPr>
          <w:rFonts w:ascii="Times" w:hAnsi="Times"/>
          <w:sz w:val="24"/>
        </w:rPr>
        <w:t>with A</w:t>
      </w:r>
      <w:r w:rsidRPr="000A3584">
        <w:rPr>
          <w:rFonts w:ascii="Times" w:hAnsi="Times"/>
          <w:sz w:val="24"/>
          <w:vertAlign w:val="subscript"/>
        </w:rPr>
        <w:t>T</w:t>
      </w:r>
      <w:r w:rsidRPr="000A3584">
        <w:rPr>
          <w:rFonts w:ascii="Times" w:hAnsi="Times"/>
          <w:sz w:val="24"/>
        </w:rPr>
        <w:t xml:space="preserve"> and pH as inputs and using the following constants: Lueker et al. (2000) for CO</w:t>
      </w:r>
      <w:r w:rsidRPr="000A3584">
        <w:rPr>
          <w:rFonts w:ascii="Times" w:hAnsi="Times"/>
          <w:sz w:val="24"/>
          <w:vertAlign w:val="subscript"/>
        </w:rPr>
        <w:t>2</w:t>
      </w:r>
      <w:r w:rsidRPr="000A3584">
        <w:rPr>
          <w:rFonts w:ascii="Times" w:hAnsi="Times"/>
          <w:sz w:val="24"/>
        </w:rPr>
        <w:t xml:space="preserve"> constants; Dickson (1990) for KHSO4; total scale (mol/kg SW) for pH scale; and Wanninkhof (1992) for air-sea flux.</w:t>
      </w:r>
    </w:p>
    <w:p w14:paraId="55BC754A" w14:textId="77777777" w:rsidR="00426D9F" w:rsidRPr="00426D9F" w:rsidRDefault="00426D9F" w:rsidP="00732DA8">
      <w:pPr>
        <w:rPr>
          <w:i/>
        </w:rPr>
      </w:pPr>
    </w:p>
    <w:p w14:paraId="078ECA16" w14:textId="0BEB56FC" w:rsidR="00732DA8" w:rsidRDefault="00732DA8" w:rsidP="00732DA8">
      <w:pPr>
        <w:pStyle w:val="Heading3"/>
      </w:pPr>
      <w:bookmarkStart w:id="55" w:name="_Toc257278807"/>
      <w:r>
        <w:t>Experimental design</w:t>
      </w:r>
      <w:bookmarkEnd w:id="55"/>
    </w:p>
    <w:p w14:paraId="4F98B857" w14:textId="77777777" w:rsidR="00C85C10" w:rsidRPr="00C85C10" w:rsidRDefault="00C85C10" w:rsidP="00C85C10"/>
    <w:p w14:paraId="1E25E131" w14:textId="1297F410" w:rsidR="007C548F" w:rsidRPr="00162C71" w:rsidRDefault="00162C71" w:rsidP="007C548F">
      <w:pPr>
        <w:pStyle w:val="normal0"/>
        <w:spacing w:line="360" w:lineRule="auto"/>
        <w:ind w:firstLine="720"/>
        <w:rPr>
          <w:rFonts w:ascii="Times" w:hAnsi="Times"/>
          <w:sz w:val="24"/>
        </w:rPr>
      </w:pPr>
      <w:r w:rsidRPr="00162C71">
        <w:rPr>
          <w:rFonts w:ascii="Times" w:hAnsi="Times"/>
          <w:sz w:val="24"/>
        </w:rPr>
        <w:t xml:space="preserve">Adult oysters (average shell length ± s.d. = 51± 5 mm, average width = 38 ± 6 mm) collected from Oyster Bay, Washington were maintained in 3.5 L chambers (n = 6 oysters per container) and acclimated for two weeks (T = 13°C, pH = 8).  The oysters originated from the same spawning event in March 2011 from approximately 25 broodstock oysters.  Oysters were fed 120,000 cells per mL per day of Shellfish Diet 1800 (Reed Mariculture, Campbell, CA, USA).  Containers were cleaned every other day with freshwater to prevent fouling.  At the beginning and end of the experiment, buoyant weight was measured. Relative growth rate of oyster cohorts within each treatment was calculated for buoyant weight based on </w:t>
      </w:r>
      <w:r w:rsidRPr="00162C71">
        <w:rPr>
          <w:rFonts w:ascii="Times" w:hAnsi="Times"/>
          <w:sz w:val="24"/>
        </w:rPr>
        <w:fldChar w:fldCharType="begin" w:fldLock="1"/>
      </w:r>
      <w:r w:rsidRPr="00162C71">
        <w:rPr>
          <w:rFonts w:ascii="Times" w:hAnsi="Times"/>
          <w:sz w:val="24"/>
        </w:rPr>
        <w:instrText>ADDIN CSL_CITATION { "citationItems" : [ { "id" : "ITEM-1", "itemData" : { "DOI" : "10.1093/aob/mcf140", "ISSN" : "03057364", "author" : [ { "dropping-particle" : "", "family" : "Hoffmann", "given" : "W. A.", "non-dropping-particle" : "", "parse-names" : false, "suffix" : "" }, { "dropping-particle" : "", "family" : "H.", "given" : "Poorter", "non-dropping-particle" : "", "parse-names" : false, "suffix" : "" } ], "container-title" : "Annals of Botany", "id" : "ITEM-1", "issue" : "1", "issued" : { "date-parts" : [ [ "2002", "7", "1" ] ] }, "page" : "37-42", "title" : "Avoiding Bias in Calculations of Relative Growth Rate", "type" : "article-journal", "volume" : "90" }, "uris" : [ "http://www.mendeley.com/documents/?uuid=53c47129-4cb8-49fe-8ecc-e1f0576277a5" ] } ], "mendeley" : { "manualFormatting" : "Hoffmann and Poorter (2002)", "previouslyFormattedCitation" : "(Hoffmann &amp; H., 2002)"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Hoffmann and Poorter (2002)</w:t>
      </w:r>
      <w:r w:rsidRPr="00162C71">
        <w:rPr>
          <w:rFonts w:ascii="Times" w:hAnsi="Times"/>
          <w:sz w:val="24"/>
        </w:rPr>
        <w:fldChar w:fldCharType="end"/>
      </w:r>
      <w:r w:rsidRPr="00162C71">
        <w:rPr>
          <w:rFonts w:ascii="Times" w:hAnsi="Times"/>
          <w:sz w:val="24"/>
        </w:rPr>
        <w:t xml:space="preserve">.  For each treatment, the difference in means of natural log-transformed mass data was divided by 29 days.  Analysis of variance was used to determine the main effects and interactions of time and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on buoyant weight, using the model:</w:t>
      </w:r>
      <w:r w:rsidR="007C548F" w:rsidRPr="00162C71">
        <w:rPr>
          <w:rFonts w:ascii="Times" w:hAnsi="Times"/>
          <w:sz w:val="24"/>
        </w:rPr>
        <w:t xml:space="preserve"> </w:t>
      </w:r>
    </w:p>
    <w:p w14:paraId="3174537D" w14:textId="77777777" w:rsidR="00426D9F" w:rsidRPr="00426D9F" w:rsidRDefault="00426D9F" w:rsidP="00426D9F">
      <w:pPr>
        <w:pStyle w:val="Caption"/>
        <w:spacing w:line="360" w:lineRule="auto"/>
        <w:jc w:val="right"/>
        <w:rPr>
          <w:rFonts w:ascii="Times" w:hAnsi="Times"/>
          <w:color w:val="auto"/>
          <w:sz w:val="24"/>
          <w:szCs w:val="24"/>
        </w:rPr>
      </w:pPr>
      <m:oMath>
        <m:r>
          <m:rPr>
            <m:sty m:val="bi"/>
          </m:rPr>
          <w:rPr>
            <w:rFonts w:ascii="Cambria Math" w:hAnsi="Cambria Math"/>
            <w:color w:val="auto"/>
            <w:sz w:val="24"/>
            <w:szCs w:val="24"/>
          </w:rPr>
          <m:t>bw~t×pCO</m:t>
        </m:r>
        <m:r>
          <m:rPr>
            <m:sty m:val="bi"/>
          </m:rPr>
          <w:rPr>
            <w:rFonts w:ascii="Cambria Math" w:hAnsi="Cambria Math"/>
            <w:color w:val="auto"/>
            <w:sz w:val="24"/>
            <w:szCs w:val="24"/>
          </w:rPr>
          <m:t>2</m:t>
        </m:r>
      </m:oMath>
      <w:r w:rsidRPr="00426D9F">
        <w:rPr>
          <w:rFonts w:ascii="Times" w:hAnsi="Times"/>
          <w:color w:val="auto"/>
          <w:sz w:val="24"/>
          <w:szCs w:val="24"/>
        </w:rPr>
        <w:t xml:space="preserve"> </w:t>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t xml:space="preserve">( </w:t>
      </w:r>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000F7C6D">
        <w:rPr>
          <w:rFonts w:ascii="Times" w:hAnsi="Times"/>
          <w:noProof/>
          <w:color w:val="auto"/>
          <w:sz w:val="24"/>
          <w:szCs w:val="24"/>
        </w:rPr>
        <w:t>1</w:t>
      </w:r>
      <w:r w:rsidRPr="00426D9F">
        <w:rPr>
          <w:rFonts w:ascii="Times" w:hAnsi="Times"/>
          <w:color w:val="auto"/>
          <w:sz w:val="24"/>
          <w:szCs w:val="24"/>
        </w:rPr>
        <w:fldChar w:fldCharType="end"/>
      </w:r>
      <w:r w:rsidRPr="00426D9F">
        <w:rPr>
          <w:rFonts w:ascii="Times" w:hAnsi="Times"/>
          <w:color w:val="auto"/>
          <w:sz w:val="24"/>
          <w:szCs w:val="24"/>
        </w:rPr>
        <w:t xml:space="preserve"> )</w:t>
      </w:r>
    </w:p>
    <w:p w14:paraId="1B9297A2" w14:textId="77777777" w:rsidR="00162C71" w:rsidRPr="00162C71" w:rsidRDefault="00162C71" w:rsidP="00162C71">
      <w:pPr>
        <w:pStyle w:val="normal0"/>
        <w:spacing w:line="360" w:lineRule="auto"/>
        <w:rPr>
          <w:rFonts w:ascii="Times" w:hAnsi="Times"/>
          <w:sz w:val="24"/>
        </w:rPr>
      </w:pPr>
      <w:r w:rsidRPr="00162C71">
        <w:rPr>
          <w:rFonts w:ascii="Times" w:hAnsi="Times"/>
          <w:sz w:val="24"/>
        </w:rPr>
        <w:t xml:space="preserve">where </w:t>
      </w:r>
      <w:r w:rsidRPr="00162C71">
        <w:rPr>
          <w:rFonts w:ascii="Times" w:hAnsi="Times"/>
          <w:i/>
          <w:sz w:val="24"/>
        </w:rPr>
        <w:t>bw</w:t>
      </w:r>
      <w:r w:rsidRPr="00162C71">
        <w:rPr>
          <w:rFonts w:ascii="Times" w:hAnsi="Times"/>
          <w:sz w:val="24"/>
        </w:rPr>
        <w:t xml:space="preserve"> is the measured buoyant weight for an oyster, </w:t>
      </w:r>
      <w:r w:rsidRPr="00162C71">
        <w:rPr>
          <w:rFonts w:ascii="Times" w:hAnsi="Times"/>
          <w:i/>
          <w:sz w:val="24"/>
        </w:rPr>
        <w:t>t</w:t>
      </w:r>
      <w:r w:rsidRPr="00162C71">
        <w:rPr>
          <w:rFonts w:ascii="Times" w:hAnsi="Times"/>
          <w:sz w:val="24"/>
        </w:rPr>
        <w:t xml:space="preserve"> is time point (either start or end of the experiment) and </w:t>
      </w:r>
      <w:r w:rsidRPr="00162C71">
        <w:rPr>
          <w:rFonts w:ascii="Times" w:hAnsi="Times"/>
          <w:i/>
          <w:sz w:val="24"/>
        </w:rPr>
        <w:t>pCO</w:t>
      </w:r>
      <w:r w:rsidRPr="00162C71">
        <w:rPr>
          <w:rFonts w:ascii="Times" w:hAnsi="Times"/>
          <w:i/>
          <w:sz w:val="24"/>
          <w:vertAlign w:val="subscript"/>
        </w:rPr>
        <w:t>2</w:t>
      </w:r>
      <w:r w:rsidRPr="00162C71">
        <w:rPr>
          <w:rFonts w:ascii="Times" w:hAnsi="Times"/>
          <w:sz w:val="24"/>
        </w:rPr>
        <w:t xml:space="preserve"> is the treatment condition.  Growth rate</w:t>
      </w:r>
      <w:r w:rsidRPr="00162C71">
        <w:rPr>
          <w:rFonts w:ascii="Times" w:hAnsi="Times"/>
          <w:color w:val="FF0000"/>
          <w:sz w:val="24"/>
        </w:rPr>
        <w:t xml:space="preserve"> </w:t>
      </w:r>
      <w:r w:rsidRPr="00162C71">
        <w:rPr>
          <w:rFonts w:ascii="Times" w:hAnsi="Times"/>
          <w:sz w:val="24"/>
        </w:rPr>
        <w:t>analyses were performed in R (R Core Team, 2013).</w:t>
      </w:r>
    </w:p>
    <w:p w14:paraId="61CFD434" w14:textId="77777777" w:rsidR="00162C71" w:rsidRPr="00162C71" w:rsidRDefault="00162C71" w:rsidP="00162C71">
      <w:pPr>
        <w:pStyle w:val="normal0"/>
        <w:spacing w:line="360" w:lineRule="auto"/>
        <w:rPr>
          <w:rFonts w:ascii="Times" w:hAnsi="Times"/>
          <w:sz w:val="24"/>
        </w:rPr>
      </w:pPr>
      <w:r w:rsidRPr="00162C71">
        <w:rPr>
          <w:rFonts w:ascii="Times" w:hAnsi="Times"/>
          <w:sz w:val="24"/>
        </w:rPr>
        <w:tab/>
        <w:t xml:space="preserve">Oysters were held in one of four treatments for 29 days. At the end of the treatment period oysters were either immediately sampled (n =16), subjected to mechanical stress by centrifugation in a standard salad spinner (5min, ~100rpm) and sampled (n = 8), or subjected heat shock for one hour and sampled (n = 24). Centrifugation has previously been shown to stimulate a stress response in oysters as evidenced by increased circulating noradrenaline and impacts on hemocyte function </w:t>
      </w:r>
      <w:r w:rsidRPr="00162C71">
        <w:rPr>
          <w:rFonts w:ascii="Times" w:hAnsi="Times"/>
          <w:sz w:val="24"/>
        </w:rPr>
        <w:fldChar w:fldCharType="begin" w:fldLock="1"/>
      </w:r>
      <w:r w:rsidRPr="00162C71">
        <w:rPr>
          <w:rFonts w:ascii="Times" w:hAnsi="Times"/>
          <w:sz w:val="24"/>
        </w:rPr>
        <w:instrText>ADDIN CSL_CITATION { "citationItems" : [ { "id" : "ITEM-1", "itemData" : { "DOI" : "10.1006/gcen.2001.7629", "ISSN" : "0016-6480", "PMID" : "11316423", "abstract" : "The stress response is a series of coordinated physiological reactions increasing an organism's capacity to maintain homeostasis in the presence of threatening agents. This fundamental process is known to involve hormonal signaling to rapidly modulate key physiological functions in vertebrates, but data are lacking concerning neuroendocrine responses to stress in invertebrates. The present study examined circulating catecholamine (CA) responses to stress in oysters. Mechanical disturbances (consisting of shaking the animals) and temperature or salinity variations were applied to the animals because these three types of stressors are commonly encountered by oysters in aquaculture or in their natural habitat. Results show that both circulating noradrenaline (NA) and dopamine (DA) concentrations increased in response to stress. The catecholaminergic response to acute mechanical stressors was rapid (less than 5 min), transient (a return to basal CA levels was observed after 60-90 min), and reflected both the intensity and duration of the perturbation. In contrast, responses to temperature and salinity variations were long lasting (up to 72 h). CA concentrations varied from 1.61 +/- 0.30 ng NA/ml and 0.41 +/- 0.05 ng DA/ml to maximal values of 22.07 +/- 0.97 ng NA/ml and 2.24 +/- 0.19 ng DA/ml. Such CA concentrations are known to induce physiological responses in bivalves, suggesting that stress-induced NA and DA changes exert a regulatory function in oysters.", "author" : [ { "dropping-particle" : "", "family" : "Lacoste", "given" : "a", "non-dropping-particle" : "", "parse-names" : false, "suffix" : "" }, { "dropping-particle" : "", "family" : "Malham", "given" : "S K", "non-dropping-particle" : "", "parse-names" : false, "suffix" : "" }, { "dropping-particle" : "", "family" : "Cueff", "given" : "a", "non-dropping-particle" : "", "parse-names" : false, "suffix" : "" }, { "dropping-particle" : "", "family" : "Poulet", "given" : "S a", "non-dropping-particle" : "", "parse-names" : false, "suffix" : "" } ], "container-title" : "General and comparative endocrinology", "id" : "ITEM-1", "issue" : "2", "issued" : { "date-parts" : [ [ "2001", "5" ] ] }, "page" : "181-8", "title" : "Stress-induced catecholamine changes in the hemolymph of the oyster Crassostrea gigas.", "type" : "article-journal", "volume" : "122" }, "uris" : [ "http://www.mendeley.com/documents/?uuid=57568eb8-5f17-4d69-bb7e-cd7284cd16cd" ] }, { "id" : "ITEM-2", "itemData" : { "ISSN" : "0022-0949", "PMID" : "11249835", "abstract" : "Catecholamines and pro-opiomelanocortin (POMC)-derived peptides, some of the central regulators of the stress-response systems of vertebrates, are also present in invertebrates. However, studies are needed to determine how these hormones participate in the organisation of neuroendocrine stress-response axes in invertebrates. Our present work provides evidence for the presence of an adrenergic stress-response system in the oyster Crassostrea gigas. Noradrenaline and dopamine are released into the circulation in response to stress. Storage and release of these hormones take place in neurosecretory cells presenting morphological and biochemical similarities with vertebrate chromaffin cells. Both in vivo and in vitro experiments showed that applications of the neurotransmitters acetylcholine or carbachol caused no significant release of noradrenaline or dopamine. Moreover, the nicotinic antagonists hexamethonium and &amp;agr; -bungarotoxin and the muscarinic antagonist atropine caused no significant inhibition of catecholamine release in stressed oysters. Adrenocorticotropic hormone (ACTH) induced a significant release of noradrenaline, but the release of dopamine in response to ACTH was not significant. These results suggest that, unlike that of vertebrates, the adrenergic stress-response system of oysters is not under the control of acetylcholine and that other factors, such as the neuropeptide ACTH, might control this system.", "author" : [ { "dropping-particle" : "", "family" : "Lacoste", "given" : "a", "non-dropping-particle" : "", "parse-names" : false, "suffix" : "" }, { "dropping-particle" : "", "family" : "Malham", "given" : "S K", "non-dropping-particle" : "", "parse-names" : false, "suffix" : "" }, { "dropping-particle" : "", "family" : "Cueff", "given" : "a", "non-dropping-particle" : "", "parse-names" : false, "suffix" : "" }, { "dropping-particle" : "", "family" : "Jalabert", "given" : "F", "non-dropping-particle" : "", "parse-names" : false, "suffix" : "" }, { "dropping-particle" : "", "family" : "G\u00e9l\u00e9bart", "given" : "F", "non-dropping-particle" : "", "parse-names" : false, "suffix" : "" }, { "dropping-particle" : "", "family" : "Poulet", "given" : "S a", "non-dropping-particle" : "", "parse-names" : false, "suffix" : "" } ], "container-title" : "The Journal of experimental biology", "id" : "ITEM-2", "issue" : "Pt 7", "issued" : { "date-parts" : [ [ "2001", "4" ] ] }, "page" : "1247-55", "title" : "Evidence for a form of adrenergic response to stress in the mollusc Crassostrea gigas.", "type" : "article-journal", "volume" : "204" }, "uris" : [ "http://www.mendeley.com/documents/?uuid=4191072a-caea-48fb-831c-b6e71888d20a" ] } ], "mendeley" : { "manualFormatting" : "(Lacoste et al., 2001a; Lacoste et al., 2001b)", "previouslyFormattedCitation" : "(Lacoste, Malham, Cueff, &amp; Poulet, 2001; Lacoste, Malham, Cueff, Jalabert, et al., 2001)"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(Lacoste et al., 2001a; Lacoste et al., 2001b)</w:t>
      </w:r>
      <w:r w:rsidRPr="00162C71">
        <w:rPr>
          <w:rFonts w:ascii="Times" w:hAnsi="Times"/>
          <w:sz w:val="24"/>
        </w:rPr>
        <w:fldChar w:fldCharType="end"/>
      </w:r>
      <w:r w:rsidRPr="00162C71">
        <w:rPr>
          <w:rFonts w:ascii="Times" w:hAnsi="Times"/>
          <w:sz w:val="24"/>
        </w:rPr>
        <w:t xml:space="preserve">.  In this study, mechanical stimulation was used to characterize how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impacts the physiological response to an additional stressor.   </w:t>
      </w:r>
    </w:p>
    <w:p w14:paraId="2D7FAA4B" w14:textId="7D0CAB20" w:rsidR="00426D9F" w:rsidRPr="00162C71" w:rsidRDefault="00162C71" w:rsidP="00162C71">
      <w:pPr>
        <w:pStyle w:val="normal0"/>
        <w:spacing w:line="360" w:lineRule="auto"/>
        <w:ind w:firstLine="720"/>
        <w:rPr>
          <w:rFonts w:ascii="Times" w:hAnsi="Times"/>
          <w:sz w:val="24"/>
        </w:rPr>
      </w:pPr>
      <w:r w:rsidRPr="00162C71">
        <w:rPr>
          <w:rFonts w:ascii="Times" w:hAnsi="Times"/>
          <w:sz w:val="24"/>
        </w:rPr>
        <w:t>For sampling, a section of the posterior gill lamellae was dissected and immediately flash frozen in liquid nitrogen for protein expression analysis. Only samples held at 400 µatm (control) and 2800 µatm, both mechanically stressed and without additional stress, were considered for protein analysis. Remaining viscera from all oysters were put in a separate tube and flash frozen for fatty acid analysis.  Both shell valves were gently cleaned of remaining tissue and left to air dry for characterization of shell mechanical properties.</w:t>
      </w:r>
    </w:p>
    <w:p w14:paraId="20E84C05" w14:textId="1FC88149" w:rsidR="00732DA8" w:rsidRPr="00732DA8" w:rsidRDefault="00732DA8" w:rsidP="00732DA8">
      <w:pPr>
        <w:ind w:firstLine="720"/>
      </w:pPr>
    </w:p>
    <w:p w14:paraId="0A149557" w14:textId="43F75E4B" w:rsidR="00732DA8" w:rsidRDefault="00732DA8" w:rsidP="00732DA8">
      <w:pPr>
        <w:pStyle w:val="Heading3"/>
      </w:pPr>
      <w:bookmarkStart w:id="56" w:name="_Toc257278808"/>
      <w:r>
        <w:t>Shell micromechanical properties</w:t>
      </w:r>
      <w:bookmarkEnd w:id="56"/>
    </w:p>
    <w:p w14:paraId="30E4B587" w14:textId="77777777" w:rsidR="00C85C10" w:rsidRPr="00C85C10" w:rsidRDefault="00C85C10" w:rsidP="00C85C10"/>
    <w:p w14:paraId="507492ED" w14:textId="77777777" w:rsidR="00162C71"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Micromechanical testing was conducted on left shell valves of </w:t>
      </w:r>
      <w:r w:rsidRPr="00162C71">
        <w:rPr>
          <w:rFonts w:ascii="Times" w:hAnsi="Times"/>
          <w:i/>
          <w:sz w:val="24"/>
        </w:rPr>
        <w:t>C. gigas</w:t>
      </w:r>
      <w:r w:rsidRPr="00162C71">
        <w:rPr>
          <w:rFonts w:ascii="Times" w:hAnsi="Times"/>
          <w:sz w:val="24"/>
        </w:rPr>
        <w:t xml:space="preserve"> that had been exposed to 400, 1000 or 2800 µatm. All reagents, supplies and equipment for sample preparation were purchased from Allied High Tech Products, Inc. (Rancho Dominguez, CA, USA) unless otherwise stated. Micromechanical testing was conducted within the outermost 3 mm of the shell posterior, the region of the shell where growth occurs most rapidly. Although we could not definitively differentiate shell grown during the experimental exposure from pre-existing shell, observations of growth during the course of the experiment were consistent with a 3 mm deposition of new shell.</w:t>
      </w:r>
    </w:p>
    <w:p w14:paraId="233572CE" w14:textId="77777777" w:rsidR="00162C71" w:rsidRPr="00162C71" w:rsidRDefault="00162C71" w:rsidP="00162C71">
      <w:pPr>
        <w:pStyle w:val="normal0"/>
        <w:spacing w:line="360" w:lineRule="auto"/>
        <w:ind w:firstLine="720"/>
        <w:rPr>
          <w:rFonts w:ascii="Times" w:hAnsi="Times"/>
          <w:sz w:val="24"/>
        </w:rPr>
      </w:pPr>
      <w:r w:rsidRPr="00162C71">
        <w:rPr>
          <w:rFonts w:ascii="Times" w:hAnsi="Times"/>
          <w:sz w:val="24"/>
        </w:rPr>
        <w:t>To prepare samples, shell valves were first cut across their width using a water-cooled diamond tile saw (Skilsaw, #3540), separating the anterior from the posterior portion of the shell. The posterior segment of valves (approximately 35 mm in length) was then cleaned using Micro Organic Soap and a cotton ball to remove oil and debris and mounted on a glass microscope slide using mounting wax. Slides with mounted shells were secured to the cutting arm of a low speed diamond saw (TechCut 4, cooled with proprietary cutting fluid) and the shell segment was cut longitudinally, transecting the most posterior edge. Sectioned shell valves were removed from slides, cleaned again with Micro Organic Soap, dried on a hot plate at 70°C, and mounted in epoxy resin. Mounted samples were then ground and polished on a manual grinding/polishing machine (M-Prep 5) by passing samples through a grinding series of 180, 320, 600 and 800 grit and then polishing with a 1 µm diamond suspension and finally a 0.04 µm colloidal silica suspension. Samples were cleaned with Micro Organic soap and checked under a metallurgical microscope after each step of the grinding/polishing process, and were re-polished if necessary until the surface of each sample was completely even and free of scratches. No etching of shells was observed during grinding or polishing.</w:t>
      </w:r>
    </w:p>
    <w:p w14:paraId="0C8CDDAE" w14:textId="5482011B" w:rsidR="007C548F"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Vickers microhardness tests were conducted using a microindentation hardness tester (Clark Instrument MHT-1, SUN-TEC, Novi, MI, USA) on polished shells at 0.245 N load and 5 s dwelling time. </w:t>
      </w:r>
      <w:bookmarkStart w:id="57" w:name="OLE_LINK19"/>
      <w:bookmarkStart w:id="58" w:name="OLE_LINK20"/>
      <w:r w:rsidRPr="00162C71">
        <w:rPr>
          <w:rFonts w:ascii="Times" w:hAnsi="Times"/>
          <w:sz w:val="24"/>
        </w:rPr>
        <w:t>Indents were made within the bulk, foliated layer of the shell,</w:t>
      </w:r>
      <w:bookmarkEnd w:id="57"/>
      <w:bookmarkEnd w:id="58"/>
      <w:r w:rsidRPr="00162C71">
        <w:rPr>
          <w:rFonts w:ascii="Times" w:hAnsi="Times"/>
          <w:sz w:val="24"/>
        </w:rPr>
        <w:t xml:space="preserve"> which was easily differentiated from the prismatic and chalky regions of the shell at low magnification. Seven to eight indentations were made per sample and each indent was placed at least 45 µm away from other indents and the sample’s edges. Vickers hardness numbers (VHN) were calculated as:</w:t>
      </w:r>
    </w:p>
    <w:p w14:paraId="793D72F7" w14:textId="343ABD3F" w:rsidR="00426D9F" w:rsidRPr="00426D9F" w:rsidRDefault="00426D9F" w:rsidP="00426D9F">
      <w:pPr>
        <w:pStyle w:val="normal0"/>
        <w:spacing w:line="360" w:lineRule="auto"/>
        <w:ind w:firstLine="720"/>
        <w:rPr>
          <w:rFonts w:ascii="Times" w:hAnsi="Times"/>
          <w:sz w:val="24"/>
        </w:rPr>
      </w:pPr>
    </w:p>
    <w:p w14:paraId="45706BAF" w14:textId="77777777" w:rsidR="00426D9F" w:rsidRPr="00426D9F" w:rsidRDefault="00426D9F" w:rsidP="00426D9F">
      <w:pPr>
        <w:pStyle w:val="Caption"/>
        <w:spacing w:line="360" w:lineRule="auto"/>
        <w:jc w:val="right"/>
        <w:rPr>
          <w:rFonts w:ascii="Times" w:hAnsi="Times"/>
          <w:color w:val="auto"/>
          <w:sz w:val="24"/>
          <w:szCs w:val="24"/>
        </w:rPr>
      </w:pPr>
      <m:oMath>
        <m:r>
          <m:rPr>
            <m:sty m:val="bi"/>
          </m:rPr>
          <w:rPr>
            <w:rFonts w:ascii="Cambria Math" w:hAnsi="Cambria Math"/>
            <w:color w:val="auto"/>
            <w:sz w:val="24"/>
            <w:szCs w:val="24"/>
          </w:rPr>
          <m:t>VHN =1.854×</m:t>
        </m:r>
        <m:d>
          <m:dPr>
            <m:ctrlPr>
              <w:rPr>
                <w:rFonts w:ascii="Cambria Math" w:hAnsi="Cambria Math"/>
                <w:i/>
                <w:color w:val="auto"/>
                <w:sz w:val="24"/>
                <w:szCs w:val="24"/>
              </w:rPr>
            </m:ctrlPr>
          </m:dPr>
          <m:e>
            <m:r>
              <m:rPr>
                <m:sty m:val="bi"/>
              </m:rPr>
              <w:rPr>
                <w:rFonts w:ascii="Cambria Math" w:hAnsi="Cambria Math"/>
                <w:color w:val="auto"/>
                <w:sz w:val="24"/>
                <w:szCs w:val="24"/>
              </w:rPr>
              <m:t>F÷</m:t>
            </m:r>
            <m:sSup>
              <m:sSupPr>
                <m:ctrlPr>
                  <w:rPr>
                    <w:rFonts w:ascii="Cambria Math" w:hAnsi="Cambria Math"/>
                    <w:i/>
                    <w:color w:val="auto"/>
                    <w:sz w:val="24"/>
                    <w:szCs w:val="24"/>
                  </w:rPr>
                </m:ctrlPr>
              </m:sSupPr>
              <m:e>
                <m:r>
                  <m:rPr>
                    <m:sty m:val="bi"/>
                  </m:rPr>
                  <w:rPr>
                    <w:rFonts w:ascii="Cambria Math" w:hAnsi="Cambria Math"/>
                    <w:color w:val="auto"/>
                    <w:sz w:val="24"/>
                    <w:szCs w:val="24"/>
                  </w:rPr>
                  <m:t>d</m:t>
                </m:r>
              </m:e>
              <m:sup>
                <m:r>
                  <m:rPr>
                    <m:sty m:val="bi"/>
                  </m:rPr>
                  <w:rPr>
                    <w:rFonts w:ascii="Cambria Math" w:hAnsi="Cambria Math"/>
                    <w:color w:val="auto"/>
                    <w:sz w:val="24"/>
                    <w:szCs w:val="24"/>
                  </w:rPr>
                  <m:t>2</m:t>
                </m:r>
              </m:sup>
            </m:sSup>
          </m:e>
        </m:d>
      </m:oMath>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t xml:space="preserve">( </w:t>
      </w:r>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000F7C6D">
        <w:rPr>
          <w:rFonts w:ascii="Times" w:hAnsi="Times"/>
          <w:noProof/>
          <w:color w:val="auto"/>
          <w:sz w:val="24"/>
          <w:szCs w:val="24"/>
        </w:rPr>
        <w:t>2</w:t>
      </w:r>
      <w:r w:rsidRPr="00426D9F">
        <w:rPr>
          <w:rFonts w:ascii="Times" w:hAnsi="Times"/>
          <w:color w:val="auto"/>
          <w:sz w:val="24"/>
          <w:szCs w:val="24"/>
        </w:rPr>
        <w:fldChar w:fldCharType="end"/>
      </w:r>
      <w:r w:rsidRPr="00426D9F">
        <w:rPr>
          <w:rFonts w:ascii="Times" w:hAnsi="Times"/>
          <w:color w:val="auto"/>
          <w:sz w:val="24"/>
          <w:szCs w:val="24"/>
        </w:rPr>
        <w:t xml:space="preserve"> )</w:t>
      </w:r>
    </w:p>
    <w:p w14:paraId="05DBBD76" w14:textId="77777777" w:rsidR="00162C71" w:rsidRPr="00162C71" w:rsidRDefault="00162C71" w:rsidP="00162C71">
      <w:pPr>
        <w:pStyle w:val="normal0"/>
        <w:spacing w:line="360" w:lineRule="auto"/>
        <w:rPr>
          <w:rFonts w:ascii="Times" w:hAnsi="Times"/>
          <w:sz w:val="24"/>
        </w:rPr>
      </w:pPr>
      <w:r w:rsidRPr="00162C71">
        <w:rPr>
          <w:rFonts w:ascii="Times" w:hAnsi="Times"/>
          <w:sz w:val="24"/>
        </w:rPr>
        <w:t>where F is the applied load and d is the mean length of the two diagonals produced by indentation. VHN were averaged for each shell sample. Following microhardness testing, each indent was photographed at 80x magnification on a metallurgical microscope (Jenco MET-233, Portland, OR, USA) equipped with a camera (Leica EC3, Buffalo Grove, IL, USA). Photographs were used to quantify the longest crack produced by each indent, which was measured using image analysis software (Leica LAS EZ, Ver. 3.0) as the radius of a circle radiating from the center of the indent enclosing all visible cracks (Figure S1). Hardness and crack radius measurements were used to calculate fracture toughness (K</w:t>
      </w:r>
      <w:r w:rsidRPr="00162C71">
        <w:rPr>
          <w:rFonts w:ascii="Times" w:hAnsi="Times"/>
          <w:sz w:val="24"/>
          <w:vertAlign w:val="subscript"/>
        </w:rPr>
        <w:t>c</w:t>
      </w:r>
      <w:r w:rsidRPr="00162C71">
        <w:rPr>
          <w:rFonts w:ascii="Times" w:hAnsi="Times"/>
          <w:sz w:val="24"/>
        </w:rPr>
        <w:t xml:space="preserve">) for each sample as described elsewhere </w:t>
      </w:r>
      <w:r w:rsidRPr="00162C71">
        <w:rPr>
          <w:rFonts w:ascii="Times" w:hAnsi="Times"/>
          <w:sz w:val="24"/>
        </w:rPr>
        <w:fldChar w:fldCharType="begin" w:fldLock="1"/>
      </w:r>
      <w:r w:rsidRPr="00162C71">
        <w:rPr>
          <w:rFonts w:ascii="Times" w:hAnsi="Times"/>
          <w:sz w:val="24"/>
        </w:rPr>
        <w:instrText>ADDIN CSL_CITATION { "citationItems" : [ { "id" : "ITEM-1", "itemData" : { "author" : [ { "dropping-particle" : "", "family" : "Anstis", "given" : "G.R.", "non-dropping-particle" : "", "parse-names" : false, "suffix" : "" }, { "dropping-particle" : "", "family" : "Chantikul", "given" : "P.", "non-dropping-particle" : "", "parse-names" : false, "suffix" : "" }, { "dropping-particle" : "", "family" : "Lawn", "given" : "B.R.", "non-dropping-particle" : "", "parse-names" : false, "suffix" : "" }, { "dropping-particle" : "", "family" : "Marshall", "given" : "D.B.", "non-dropping-particle" : "", "parse-names" : false, "suffix" : "" } ], "container-title" : "Journal of the American Ceramic Society", "id" : "ITEM-1", "issue" : "9", "issued" : { "date-parts" : [ [ "1981" ] ] }, "page" : "533-538", "title" : "A critical evaluation of indentation techniques for measuring fracture toughness: I, direct crack measurements", "type" : "article-journal", "volume" : "46" }, "uris" : [ "http://www.mendeley.com/documents/?uuid=a5efb241-07e4-4609-99e9-461bb5edb515" ] }, { "id" : "ITEM-2", "itemData" : { "DOI" : "10.1177/154405910808700711", "ISBN" : "1544059108", "ISSN" : "0022-0345", "author" : [ { "dropping-particle" : "", "family" : "Baldassarri", "given" : "M.", "non-dropping-particle" : "", "parse-names" : false, "suffix" : "" }, { "dropping-particle" : "", "family" : "Margolis", "given" : "H.C.", "non-dropping-particle" : "", "parse-names" : false, "suffix" : "" }, { "dropping-particle" : "", "family" : "Beniash", "given" : "E.", "non-dropping-particle" : "", "parse-names" : false, "suffix" : "" } ], "container-title" : "Journal of Dental Research", "id" : "ITEM-2", "issue" : "7", "issued" : { "date-parts" : [ [ "2008", "7", "1" ] ] }, "page" : "645-649", "title" : "Compositional Determinants of Mechanical Properties of Enamel", "type" : "article-journal", "volume" : "87" }, "uris" : [ "http://www.mendeley.com/documents/?uuid=7010aaac-5f9a-404c-84eb-c39c29537943" ] } ], "mendeley" : { "manualFormatting" : "(Anstis et al., 1981; Baldassarri et al., 2008)", "previouslyFormattedCitation" : "(Anstis, Chantikul, Lawn, &amp; Marshall, 1981; Baldassarri, Margolis, &amp; Beniash, 2008)"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(Anstis et al., 1981; Baldassarri et al., 2008)</w:t>
      </w:r>
      <w:r w:rsidRPr="00162C71">
        <w:rPr>
          <w:rFonts w:ascii="Times" w:hAnsi="Times"/>
          <w:sz w:val="24"/>
        </w:rPr>
        <w:fldChar w:fldCharType="end"/>
      </w:r>
      <w:r w:rsidRPr="00162C71">
        <w:rPr>
          <w:rFonts w:ascii="Times" w:hAnsi="Times"/>
          <w:sz w:val="24"/>
        </w:rPr>
        <w:t>:</w:t>
      </w:r>
    </w:p>
    <w:p w14:paraId="2057C7AE" w14:textId="77777777" w:rsidR="00426D9F" w:rsidRPr="00426D9F" w:rsidRDefault="00426D9F" w:rsidP="00426D9F">
      <w:pPr>
        <w:pStyle w:val="Caption"/>
        <w:spacing w:line="360" w:lineRule="auto"/>
        <w:jc w:val="right"/>
        <w:rPr>
          <w:rFonts w:ascii="Times" w:hAnsi="Times"/>
          <w:color w:val="auto"/>
          <w:sz w:val="24"/>
          <w:szCs w:val="24"/>
        </w:rPr>
      </w:pPr>
      <w:r w:rsidRPr="00426D9F">
        <w:rPr>
          <w:rFonts w:ascii="Times" w:hAnsi="Times"/>
          <w:color w:val="auto"/>
          <w:sz w:val="24"/>
          <w:szCs w:val="24"/>
        </w:rPr>
        <w:t xml:space="preserve"> </w:t>
      </w:r>
      <m:oMath>
        <m:sSub>
          <m:sSubPr>
            <m:ctrlPr>
              <w:rPr>
                <w:rFonts w:ascii="Cambria Math" w:hAnsi="Cambria Math"/>
                <w:i/>
                <w:color w:val="auto"/>
                <w:sz w:val="24"/>
                <w:szCs w:val="24"/>
              </w:rPr>
            </m:ctrlPr>
          </m:sSubPr>
          <m:e>
            <m:r>
              <m:rPr>
                <m:sty m:val="bi"/>
              </m:rPr>
              <w:rPr>
                <w:rFonts w:ascii="Cambria Math" w:hAnsi="Cambria Math"/>
                <w:color w:val="auto"/>
                <w:sz w:val="24"/>
                <w:szCs w:val="24"/>
              </w:rPr>
              <m:t>K</m:t>
            </m:r>
          </m:e>
          <m:sub>
            <m:r>
              <m:rPr>
                <m:sty m:val="bi"/>
              </m:rPr>
              <w:rPr>
                <w:rFonts w:ascii="Cambria Math" w:hAnsi="Cambria Math"/>
                <w:color w:val="auto"/>
                <w:sz w:val="24"/>
                <w:szCs w:val="24"/>
              </w:rPr>
              <m:t>C</m:t>
            </m:r>
          </m:sub>
        </m:sSub>
        <m:r>
          <m:rPr>
            <m:sty m:val="bi"/>
          </m:rPr>
          <w:rPr>
            <w:rFonts w:ascii="Cambria Math" w:hAnsi="Cambria Math"/>
            <w:color w:val="auto"/>
            <w:sz w:val="24"/>
            <w:szCs w:val="24"/>
          </w:rPr>
          <m:t xml:space="preserve"> =0.0154×</m:t>
        </m:r>
        <m:sSup>
          <m:sSupPr>
            <m:ctrlPr>
              <w:rPr>
                <w:rFonts w:ascii="Cambria Math" w:hAnsi="Cambria Math"/>
                <w:i/>
                <w:color w:val="auto"/>
                <w:sz w:val="24"/>
                <w:szCs w:val="24"/>
              </w:rPr>
            </m:ctrlPr>
          </m:sSupPr>
          <m:e>
            <m:r>
              <m:rPr>
                <m:sty m:val="bi"/>
              </m:rPr>
              <w:rPr>
                <w:rFonts w:ascii="Cambria Math" w:hAnsi="Cambria Math"/>
                <w:color w:val="auto"/>
                <w:sz w:val="24"/>
                <w:szCs w:val="24"/>
              </w:rPr>
              <m:t>(</m:t>
            </m:r>
            <m:f>
              <m:fPr>
                <m:ctrlPr>
                  <w:rPr>
                    <w:rFonts w:ascii="Cambria Math" w:hAnsi="Cambria Math"/>
                    <w:i/>
                    <w:color w:val="auto"/>
                    <w:sz w:val="24"/>
                    <w:szCs w:val="24"/>
                  </w:rPr>
                </m:ctrlPr>
              </m:fPr>
              <m:num>
                <m:r>
                  <m:rPr>
                    <m:sty m:val="bi"/>
                  </m:rPr>
                  <w:rPr>
                    <w:rFonts w:ascii="Cambria Math" w:hAnsi="Cambria Math"/>
                    <w:color w:val="auto"/>
                    <w:sz w:val="24"/>
                    <w:szCs w:val="24"/>
                  </w:rPr>
                  <m:t>E</m:t>
                </m:r>
              </m:num>
              <m:den>
                <m:r>
                  <m:rPr>
                    <m:sty m:val="bi"/>
                  </m:rPr>
                  <w:rPr>
                    <w:rFonts w:ascii="Cambria Math" w:hAnsi="Cambria Math"/>
                    <w:color w:val="auto"/>
                    <w:sz w:val="24"/>
                    <w:szCs w:val="24"/>
                  </w:rPr>
                  <m:t>H</m:t>
                </m:r>
              </m:den>
            </m:f>
            <m:r>
              <m:rPr>
                <m:sty m:val="bi"/>
              </m:rPr>
              <w:rPr>
                <w:rFonts w:ascii="Cambria Math" w:hAnsi="Cambria Math"/>
                <w:color w:val="auto"/>
                <w:sz w:val="24"/>
                <w:szCs w:val="24"/>
              </w:rPr>
              <m:t>)</m:t>
            </m:r>
          </m:e>
          <m:sup>
            <m:r>
              <m:rPr>
                <m:sty m:val="bi"/>
              </m:rPr>
              <w:rPr>
                <w:rFonts w:ascii="Cambria Math" w:hAnsi="Cambria Math"/>
                <w:color w:val="auto"/>
                <w:sz w:val="24"/>
                <w:szCs w:val="24"/>
              </w:rPr>
              <m:t>1/2</m:t>
            </m:r>
          </m:sup>
        </m:sSup>
        <m:r>
          <m:rPr>
            <m:sty m:val="bi"/>
          </m:rPr>
          <w:rPr>
            <w:rFonts w:ascii="Cambria Math" w:hAnsi="Cambria Math"/>
            <w:color w:val="auto"/>
            <w:sz w:val="24"/>
            <w:szCs w:val="24"/>
          </w:rPr>
          <m:t>×</m:t>
        </m:r>
        <m:sSup>
          <m:sSupPr>
            <m:ctrlPr>
              <w:rPr>
                <w:rFonts w:ascii="Cambria Math" w:hAnsi="Cambria Math"/>
                <w:i/>
                <w:color w:val="auto"/>
                <w:sz w:val="24"/>
                <w:szCs w:val="24"/>
              </w:rPr>
            </m:ctrlPr>
          </m:sSupPr>
          <m:e>
            <m:r>
              <m:rPr>
                <m:sty m:val="bi"/>
              </m:rPr>
              <w:rPr>
                <w:rFonts w:ascii="Cambria Math" w:hAnsi="Cambria Math"/>
                <w:color w:val="auto"/>
                <w:sz w:val="24"/>
                <w:szCs w:val="24"/>
              </w:rPr>
              <m:t>(</m:t>
            </m:r>
            <m:f>
              <m:fPr>
                <m:ctrlPr>
                  <w:rPr>
                    <w:rFonts w:ascii="Cambria Math" w:hAnsi="Cambria Math"/>
                    <w:i/>
                    <w:color w:val="auto"/>
                    <w:sz w:val="24"/>
                    <w:szCs w:val="24"/>
                  </w:rPr>
                </m:ctrlPr>
              </m:fPr>
              <m:num>
                <m:r>
                  <m:rPr>
                    <m:sty m:val="bi"/>
                  </m:rPr>
                  <w:rPr>
                    <w:rFonts w:ascii="Cambria Math" w:hAnsi="Cambria Math"/>
                    <w:color w:val="auto"/>
                    <w:sz w:val="24"/>
                    <w:szCs w:val="24"/>
                  </w:rPr>
                  <m:t>P</m:t>
                </m:r>
              </m:num>
              <m:den>
                <m:r>
                  <m:rPr>
                    <m:sty m:val="bi"/>
                  </m:rPr>
                  <w:rPr>
                    <w:rFonts w:ascii="Cambria Math" w:hAnsi="Cambria Math"/>
                    <w:color w:val="auto"/>
                    <w:sz w:val="24"/>
                    <w:szCs w:val="24"/>
                  </w:rPr>
                  <m:t>C</m:t>
                </m:r>
              </m:den>
            </m:f>
            <m:r>
              <m:rPr>
                <m:sty m:val="bi"/>
              </m:rPr>
              <w:rPr>
                <w:rFonts w:ascii="Cambria Math" w:hAnsi="Cambria Math"/>
                <w:color w:val="auto"/>
                <w:sz w:val="24"/>
                <w:szCs w:val="24"/>
              </w:rPr>
              <m:t>)</m:t>
            </m:r>
          </m:e>
          <m:sup>
            <m:r>
              <m:rPr>
                <m:sty m:val="bi"/>
              </m:rPr>
              <w:rPr>
                <w:rFonts w:ascii="Cambria Math" w:hAnsi="Cambria Math"/>
                <w:color w:val="auto"/>
                <w:sz w:val="24"/>
                <w:szCs w:val="24"/>
              </w:rPr>
              <m:t>1.5</m:t>
            </m:r>
          </m:sup>
        </m:sSup>
      </m:oMath>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t xml:space="preserve">( </w:t>
      </w:r>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000F7C6D">
        <w:rPr>
          <w:rFonts w:ascii="Times" w:hAnsi="Times"/>
          <w:noProof/>
          <w:color w:val="auto"/>
          <w:sz w:val="24"/>
          <w:szCs w:val="24"/>
        </w:rPr>
        <w:t>3</w:t>
      </w:r>
      <w:r w:rsidRPr="00426D9F">
        <w:rPr>
          <w:rFonts w:ascii="Times" w:hAnsi="Times"/>
          <w:color w:val="auto"/>
          <w:sz w:val="24"/>
          <w:szCs w:val="24"/>
        </w:rPr>
        <w:fldChar w:fldCharType="end"/>
      </w:r>
      <w:r w:rsidRPr="00426D9F">
        <w:rPr>
          <w:rFonts w:ascii="Times" w:hAnsi="Times"/>
          <w:color w:val="auto"/>
          <w:sz w:val="24"/>
          <w:szCs w:val="24"/>
        </w:rPr>
        <w:t xml:space="preserve"> )</w:t>
      </w:r>
    </w:p>
    <w:p w14:paraId="62941D13" w14:textId="77777777" w:rsidR="00426D9F" w:rsidRPr="00426D9F" w:rsidRDefault="00426D9F" w:rsidP="00426D9F">
      <w:pPr>
        <w:pStyle w:val="normal0"/>
        <w:spacing w:line="360" w:lineRule="auto"/>
        <w:rPr>
          <w:rFonts w:ascii="Times" w:hAnsi="Times"/>
          <w:sz w:val="24"/>
        </w:rPr>
      </w:pPr>
      <w:r w:rsidRPr="00426D9F">
        <w:rPr>
          <w:rFonts w:ascii="Times" w:hAnsi="Times"/>
          <w:sz w:val="24"/>
        </w:rPr>
        <w:t xml:space="preserve"> </w:t>
      </w:r>
    </w:p>
    <w:p w14:paraId="6764EBC9" w14:textId="77777777" w:rsidR="00162C71" w:rsidRPr="00162C71" w:rsidRDefault="00162C71" w:rsidP="00162C71">
      <w:pPr>
        <w:pStyle w:val="normal0"/>
        <w:spacing w:line="360" w:lineRule="auto"/>
        <w:rPr>
          <w:rFonts w:ascii="Times" w:hAnsi="Times"/>
          <w:sz w:val="24"/>
        </w:rPr>
      </w:pPr>
      <w:r w:rsidRPr="00162C71">
        <w:rPr>
          <w:rFonts w:ascii="Times" w:hAnsi="Times"/>
          <w:sz w:val="24"/>
        </w:rPr>
        <w:t xml:space="preserve">where 0.0154 is a calibration constant, E is an elastic modulus (empirically determined for </w:t>
      </w:r>
      <w:r w:rsidRPr="00162C71">
        <w:rPr>
          <w:rFonts w:ascii="Times" w:hAnsi="Times"/>
          <w:i/>
          <w:sz w:val="24"/>
        </w:rPr>
        <w:t xml:space="preserve">C. gigas </w:t>
      </w:r>
      <w:r w:rsidRPr="00162C71">
        <w:rPr>
          <w:rFonts w:ascii="Times" w:hAnsi="Times"/>
          <w:sz w:val="24"/>
        </w:rPr>
        <w:t xml:space="preserve">as 73 GPa: </w:t>
      </w:r>
      <w:r w:rsidRPr="00162C71">
        <w:rPr>
          <w:rFonts w:ascii="Times" w:hAnsi="Times"/>
          <w:sz w:val="24"/>
        </w:rPr>
        <w:fldChar w:fldCharType="begin" w:fldLock="1"/>
      </w:r>
      <w:r w:rsidRPr="00162C71">
        <w:rPr>
          <w:rFonts w:ascii="Times" w:hAnsi="Times"/>
          <w:sz w:val="24"/>
        </w:rPr>
        <w:instrText>ADDIN CSL_CITATION { "citationItems" : [ { "id" : "ITEM-1", "itemData" : { "DOI" : "10.1016/j.msec.2007.01.001", "ISSN" : "09284931", "author" : [ { "dropping-particle" : "", "family" : "Lee", "given" : "Seung Woo", "non-dropping-particle" : "", "parse-names" : false, "suffix" : "" }, { "dropping-particle" : "", "family" : "Kim", "given" : "Gyeung Ho", "non-dropping-particle" : "", "parse-names" : false, "suffix" : "" }, { "dropping-particle" : "", "family" : "Choi", "given" : "Cheong Song", "non-dropping-particle" : "", "parse-names" : false, "suffix" : "" } ], "container-title" : "Materials Science and Engineering: C", "id" : "ITEM-1", "issue" : "2", "issued" : { "date-parts" : [ [ "2008", "3" ] ] }, "page" : "258-263", "title" : "Characteristic crystal orientation of folia in oyster shell, Crassostrea gigas", "type" : "article-journal", "volume" : "28" }, "uris" : [ "http://www.mendeley.com/documents/?uuid=2f8d2624-086e-4102-8ef5-44023e80740d" ] } ], "mendeley" : { "manualFormatting" : "Lee et al., 2008)", "previouslyFormattedCitation" : "(Lee et al., 2008)"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Lee et al., 2008)</w:t>
      </w:r>
      <w:r w:rsidRPr="00162C71">
        <w:rPr>
          <w:rFonts w:ascii="Times" w:hAnsi="Times"/>
          <w:sz w:val="24"/>
        </w:rPr>
        <w:fldChar w:fldCharType="end"/>
      </w:r>
      <w:r w:rsidRPr="00162C71">
        <w:rPr>
          <w:rFonts w:ascii="Times" w:hAnsi="Times"/>
          <w:sz w:val="24"/>
        </w:rPr>
        <w:t xml:space="preserve">, H is hardness in GPa, P is applied load in N and C is crack radius in μm. </w:t>
      </w:r>
    </w:p>
    <w:p w14:paraId="29443F72" w14:textId="25B6650C" w:rsidR="00426D9F" w:rsidRPr="00162C71" w:rsidRDefault="00162C71" w:rsidP="00162C71">
      <w:pPr>
        <w:pStyle w:val="normal0"/>
        <w:spacing w:line="360" w:lineRule="auto"/>
        <w:ind w:firstLine="720"/>
        <w:rPr>
          <w:rFonts w:ascii="Times" w:hAnsi="Times"/>
          <w:sz w:val="24"/>
        </w:rPr>
      </w:pPr>
      <w:r w:rsidRPr="00162C71">
        <w:rPr>
          <w:rFonts w:ascii="Times" w:hAnsi="Times"/>
          <w:sz w:val="24"/>
        </w:rPr>
        <w:t>Statistical analysis for micromechanical properties was conducted using SPSS (Ver. 19, IBM, Armonk, NY, USA). Outliers were calculated in SPSS as values greater than 1.5 times the interquartile range below or above the first or third quartile respectively, and were removed from the dataset (at most two per treatment group). Data were analyzed using one-way analysis of variance followed by post-hoc testing. Normality and equal variance was tested using a Kolmogorov–Smirnov test with Lilliefor’s correction and a Levene test, respectively. Fracture toughness data met both assumptions and a Tukey HSD post-hoc test was used. As hardness data was normally distributed but did not meet the equal variance assumption, a Welch ANOVA followed by Games-Howell post-hoc testing was applied.</w:t>
      </w:r>
    </w:p>
    <w:p w14:paraId="0D580E19" w14:textId="062BF696" w:rsidR="00732DA8" w:rsidRDefault="00732DA8" w:rsidP="00732DA8">
      <w:pPr>
        <w:pStyle w:val="Heading3"/>
      </w:pPr>
      <w:bookmarkStart w:id="59" w:name="_Toc257278809"/>
      <w:r>
        <w:t>Fatty acid</w:t>
      </w:r>
      <w:r w:rsidR="00162C71">
        <w:t xml:space="preserve"> and glycogen analyse</w:t>
      </w:r>
      <w:r>
        <w:t>s</w:t>
      </w:r>
      <w:bookmarkEnd w:id="59"/>
    </w:p>
    <w:p w14:paraId="5E19BE9E" w14:textId="77777777" w:rsidR="00C85C10" w:rsidRPr="00C85C10" w:rsidRDefault="00C85C10" w:rsidP="00C85C10"/>
    <w:p w14:paraId="356D6B33" w14:textId="77777777" w:rsidR="00162C71"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Fatty acid and glycogen analyses were carried out on oysters from three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treatments (400, 800, and 2800 µatm; n = 8 per treatment). Whole body tissue (minus the dissected gill) was lyophilized overnight and tissues were homogenized with a pestle for use in fatty acid extractions (2.5 mg per extraction) and glycogen extractions (19.3-84.7 mg).  Fatty acid extractions were performed following the protocol described in </w:t>
      </w:r>
      <w:r w:rsidRPr="00162C71">
        <w:rPr>
          <w:rFonts w:ascii="Times" w:hAnsi="Times"/>
          <w:sz w:val="24"/>
        </w:rPr>
        <w:fldChar w:fldCharType="begin" w:fldLock="1"/>
      </w:r>
      <w:r w:rsidRPr="00162C71">
        <w:rPr>
          <w:rFonts w:ascii="Times" w:hAnsi="Times"/>
          <w:sz w:val="24"/>
        </w:rPr>
        <w:instrText>ADDIN CSL_CITATION { "citationItems" : [ { "id" : "ITEM-1", "itemData" : { "DOI" : "10.1111/j.1529-8817.2012.01173.x", "ISSN" : "00223646", "author" : [ { "dropping-particle" : "", "family" : "Galloway", "given" : "Aaron W. E.", "non-dropping-particle" : "", "parse-names" : false, "suffix" : "" }, { "dropping-particle" : "", "family" : "Britton-Simmons", "given" : "Kevin H.", "non-dropping-particle" : "", "parse-names" : false, "suffix" : "" }, { "dropping-particle" : "", "family" : "Duggins", "given" : "David O.", "non-dropping-particle" : "", "parse-names" : false, "suffix" : "" }, { "dropping-particle" : "", "family" : "Gabrielson", "given" : "Paul W.", "non-dropping-particle" : "", "parse-names" : false, "suffix" : "" }, { "dropping-particle" : "", "family" : "Brett", "given" : "Michael T.", "non-dropping-particle" : "", "parse-names" : false, "suffix" : "" } ], "container-title" : "Journal of Phycology", "id" : "ITEM-1", "issue" : "4", "issued" : { "date-parts" : [ [ "2012", "8", "15" ] ] }, "page" : "956-965", "title" : "Fatty Acid Signatures Differentiate Marine Macrophytes At Ordinal and Family Ranks1", "type" : "article-journal", "volume" : "48" }, "uris" : [ "http://www.mendeley.com/documents/?uuid=8324e10e-bd7e-411b-bdaa-5a037c1f7a9d" ] } ], "mendeley" : { "manualFormatting" : "Galloway et al. (2012)", "previouslyFormattedCitation" : "(Galloway, Britton-Simmons, Duggins, Gabrielson, &amp; Brett, 2012)"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Galloway et al. (2012)</w:t>
      </w:r>
      <w:r w:rsidRPr="00162C71">
        <w:rPr>
          <w:rFonts w:ascii="Times" w:hAnsi="Times"/>
          <w:sz w:val="24"/>
        </w:rPr>
        <w:fldChar w:fldCharType="end"/>
      </w:r>
      <w:r w:rsidRPr="00162C71">
        <w:rPr>
          <w:rFonts w:ascii="Times" w:hAnsi="Times"/>
          <w:sz w:val="24"/>
        </w:rPr>
        <w:t xml:space="preserve"> except two chloroform removals were carried out.  Fatty acid methyl esters were identified by running the samples on a HP 6958 gas chromatograph with an auto-sampler and flame-ionization detector using an Agilent DB-23 column (30 m, 0.25 mm diameter, 0.15 µm film) (Supelco, Bellefonte, PA, USA). Peaks were identified based on comparison of retention times with known standards.  Individual amounts of fatty acids were normalized within each replicate by dividing the peak area by the sum of all fatty acid peak areas for that sample.  Normalized fatty acid data were log-transformed and non-metric multidimensional scaling (NMDS) based on a Bray-Curtis dissimilarity matrix was used to compare fatty acid profiles among treatments.  NMDS was performed in R with the vegan package (R Core Team, 2013; Oksanen et al., 2013).  </w:t>
      </w:r>
    </w:p>
    <w:p w14:paraId="5383E460" w14:textId="0AC440DC" w:rsidR="00426D9F" w:rsidRPr="009454B5" w:rsidRDefault="00162C71" w:rsidP="00162C71">
      <w:pPr>
        <w:spacing w:line="360" w:lineRule="auto"/>
        <w:ind w:firstLine="720"/>
        <w:rPr>
          <w:rFonts w:ascii="Times" w:hAnsi="Times"/>
        </w:rPr>
      </w:pPr>
      <w:r w:rsidRPr="00162C71">
        <w:rPr>
          <w:rFonts w:ascii="Times" w:hAnsi="Times"/>
        </w:rPr>
        <w:t xml:space="preserve">Glycogen was extracted using trichloroacetic acid (TCA).  Three mL of 15% TCA was added to each homogenized tissue sample and samples were vortexed and stored at 4°C for 1 hour.  Samples were then centrifuged at 3,000xg for 10 minutes and 4 mL of absolute ethanol was added to 500 µl of the resulting supernatant.  After an overnight incubation at 4°C, samples were centrifuged 30 minutes at 4,000xg, supernatant was removed, and the resulting glycogen pellet was dissolved in 200 µl Nanopure water.  Glycogen concentration was determined using Sigma’s Glycogen Assay Kit following the manufacturer’s protocol (MAK016, Sigma-Aldrich, St. Louis, MO).  Each sample was diluted 1:30 in Hydrolysis Buffer and run in triplicate.  A few samples that were still too concentrated were run again diluted 1:60.   Absorbances were read on a Spectra Max M2 (Molecular Devices, Sunnyvale, CA) using Softmax Pro v.5 software (Molecular Devices).  The coefficient of variation was &lt;20% for all samples.  Absorbance measurements were blank corrected and concentrations were corrected for dilution factor and original mass of tissue used for the extraction.  Differences among groups were explored using a one-way ANOVA in R (R Core Development Team, 2013) with </w:t>
      </w:r>
      <w:r w:rsidRPr="00162C71">
        <w:rPr>
          <w:rFonts w:ascii="Times" w:hAnsi="Times"/>
          <w:i/>
        </w:rPr>
        <w:t>p</w:t>
      </w:r>
      <w:r w:rsidRPr="00162C71">
        <w:rPr>
          <w:rFonts w:ascii="Times" w:hAnsi="Times"/>
        </w:rPr>
        <w:t>CO</w:t>
      </w:r>
      <w:r w:rsidRPr="00162C71">
        <w:rPr>
          <w:rFonts w:ascii="Times" w:hAnsi="Times"/>
          <w:vertAlign w:val="subscript"/>
        </w:rPr>
        <w:t>2</w:t>
      </w:r>
      <w:r w:rsidRPr="00162C71">
        <w:rPr>
          <w:rFonts w:ascii="Times" w:hAnsi="Times"/>
        </w:rPr>
        <w:t xml:space="preserve"> treatment as a fixed factor.</w:t>
      </w:r>
      <w:r w:rsidR="007C548F" w:rsidRPr="00183126">
        <w:rPr>
          <w:rFonts w:ascii="Times" w:hAnsi="Times"/>
          <w:szCs w:val="22"/>
        </w:rPr>
        <w:t xml:space="preserve"> </w:t>
      </w:r>
      <w:r w:rsidR="00426D9F" w:rsidRPr="009454B5">
        <w:rPr>
          <w:rFonts w:ascii="Times" w:hAnsi="Times"/>
        </w:rPr>
        <w:t xml:space="preserve">  </w:t>
      </w:r>
    </w:p>
    <w:p w14:paraId="7DA7D08B" w14:textId="05DD1DFB" w:rsidR="00732DA8" w:rsidRDefault="00732DA8" w:rsidP="00732DA8">
      <w:pPr>
        <w:pStyle w:val="Heading3"/>
      </w:pPr>
      <w:bookmarkStart w:id="60" w:name="_Toc257278810"/>
      <w:r>
        <w:t>Heat shock</w:t>
      </w:r>
      <w:bookmarkEnd w:id="60"/>
    </w:p>
    <w:p w14:paraId="1CB28FF0" w14:textId="77777777" w:rsidR="00C85C10" w:rsidRPr="00C85C10" w:rsidRDefault="00C85C10" w:rsidP="00C85C10"/>
    <w:p w14:paraId="039EBF1A" w14:textId="12D8555C" w:rsidR="007C548F" w:rsidRPr="00162C71" w:rsidRDefault="00162C71" w:rsidP="007C548F">
      <w:pPr>
        <w:pStyle w:val="normal0"/>
        <w:spacing w:line="360" w:lineRule="auto"/>
        <w:ind w:firstLine="720"/>
        <w:rPr>
          <w:rFonts w:ascii="Times" w:hAnsi="Times"/>
          <w:sz w:val="24"/>
        </w:rPr>
      </w:pPr>
      <w:r w:rsidRPr="00162C71">
        <w:rPr>
          <w:rFonts w:ascii="Times" w:hAnsi="Times"/>
          <w:sz w:val="24"/>
        </w:rPr>
        <w:t xml:space="preserve">Oysters from each of the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treatments of 400, 800, 1000, and 2800 µatm were subjected to acute heat shock.  Three temperature shocks were implemented consisting of two sublethal temperatures (42° and 43°C) and one lethal temperature (44°C).  The lethal heat shock temperature was previously determined for this group of oysters and is defined as the temperature at which 100% mortality occurs within one week after a one hour exposure </w:t>
      </w:r>
      <w:r w:rsidRPr="00162C71">
        <w:rPr>
          <w:rFonts w:ascii="Times" w:hAnsi="Times"/>
          <w:sz w:val="24"/>
        </w:rPr>
        <w:fldChar w:fldCharType="begin" w:fldLock="1"/>
      </w:r>
      <w:r w:rsidRPr="00162C71">
        <w:rPr>
          <w:rFonts w:ascii="Times" w:hAnsi="Times"/>
          <w:sz w:val="24"/>
        </w:rPr>
        <w:instrText>ADDIN CSL_CITATION { "citationItems" : [ { "id" : "ITEM-1", "itemData" : { "author" : [ { "dropping-particle" : "", "family" : "Clegg", "given" : "J S", "non-dropping-particle" : "", "parse-names" : false, "suffix" : "" }, { "dropping-particle" : "", "family" : "Uhlinger", "given" : "K R", "non-dropping-particle" : "", "parse-names" : false, "suffix" : "" }, { "dropping-particle" : "", "family" : "Jackson", "given" : "S A", "non-dropping-particle" : "", "parse-names" : false, "suffix" : "" } ], "id" : "ITEM-1", "issue" : "1998", "issued" : { "date-parts" : [ [ "2009" ] ] }, "page" : "21-30", "title" : "Induced thermotolerance and the heat shock protein \u2013 70 family in the Pacific oyster Crassostrea gigas", "type" : "article-journal", "volume" : "7" }, "uris" : [ "http://www.mendeley.com/documents/?uuid=335e0b9c-9321-4cbc-94fe-a79fdf078cec" ] } ], "mendeley" : { "manualFormatting" : "(Clegg et al., 2009)", "previouslyFormattedCitation" : "(Clegg, Uhlinger, &amp; Jackson, 2009)"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(Clegg et al., 2009)</w:t>
      </w:r>
      <w:r w:rsidRPr="00162C71">
        <w:rPr>
          <w:rFonts w:ascii="Times" w:hAnsi="Times"/>
          <w:sz w:val="24"/>
        </w:rPr>
        <w:fldChar w:fldCharType="end"/>
      </w:r>
      <w:r w:rsidRPr="00162C71">
        <w:rPr>
          <w:rFonts w:ascii="Times" w:hAnsi="Times"/>
          <w:sz w:val="24"/>
        </w:rPr>
        <w:t>.  The heat shock exposure occurred in 800 mL of seawater equilibrated to the correct temperature in a circulating water bath.  Since oysters considerably decrease the temperature of the bath, we added a pre-heating step of 10 minutes in one beaker after which the oysters were transferred into another beaker for the full hour.  After heat shock, oysters were returned to the flow through system at pH = 8.03 and 13°C.  Mortality was the only parameter assessed for the temperature treatment.  Differences in mortality across treatments were assessed using the Cox proportional hazards regression model (Therneau 2013) in R (R Core Development Team, 2013) with pCO</w:t>
      </w:r>
      <w:r w:rsidRPr="00162C71">
        <w:rPr>
          <w:rFonts w:ascii="Times" w:hAnsi="Times"/>
          <w:sz w:val="24"/>
          <w:vertAlign w:val="subscript"/>
        </w:rPr>
        <w:t>2</w:t>
      </w:r>
      <w:r w:rsidRPr="00162C71">
        <w:rPr>
          <w:rFonts w:ascii="Times" w:hAnsi="Times"/>
          <w:sz w:val="24"/>
        </w:rPr>
        <w:t xml:space="preserve"> and temperature as variables.</w:t>
      </w:r>
    </w:p>
    <w:p w14:paraId="54E55E62" w14:textId="77777777" w:rsidR="00732DA8" w:rsidRPr="00732DA8" w:rsidRDefault="00732DA8" w:rsidP="00732DA8"/>
    <w:p w14:paraId="513B53B4" w14:textId="586C64B9" w:rsidR="00732DA8" w:rsidRDefault="00732DA8" w:rsidP="00732DA8">
      <w:pPr>
        <w:pStyle w:val="Heading3"/>
      </w:pPr>
      <w:bookmarkStart w:id="61" w:name="_Toc257278811"/>
      <w:r>
        <w:t>Liquid chromatography and tandem mass spectrometry (LC-MS/MS)</w:t>
      </w:r>
      <w:bookmarkEnd w:id="61"/>
    </w:p>
    <w:p w14:paraId="0948AA2E" w14:textId="77777777" w:rsidR="00C85C10" w:rsidRPr="00C85C10" w:rsidRDefault="00C85C10" w:rsidP="00C85C10"/>
    <w:p w14:paraId="2C60ACD9" w14:textId="2CF5C859" w:rsidR="00732DA8" w:rsidRPr="00732DA8" w:rsidRDefault="00162C71" w:rsidP="00426D9F">
      <w:pPr>
        <w:spacing w:line="360" w:lineRule="auto"/>
        <w:ind w:firstLine="720"/>
      </w:pPr>
      <w:r w:rsidRPr="00183126">
        <w:rPr>
          <w:rFonts w:ascii="Times" w:hAnsi="Times"/>
          <w:szCs w:val="22"/>
        </w:rPr>
        <w:t xml:space="preserve">Protein extraction and desalting were performed on gill tissue from four mechanically stressed and four control oysters held in the present day and the highest treatment level, 400 and 2800 µatm, respectively (n = 16 oysters total) as described in </w:t>
      </w:r>
      <w:r w:rsidRPr="00183126">
        <w:rPr>
          <w:rFonts w:ascii="Times" w:hAnsi="Times"/>
          <w:szCs w:val="22"/>
        </w:rPr>
        <w:fldChar w:fldCharType="begin" w:fldLock="1"/>
      </w:r>
      <w:r w:rsidRPr="00183126">
        <w:rPr>
          <w:rFonts w:ascii="Times" w:hAnsi="Times"/>
          <w:szCs w:val="22"/>
        </w:rPr>
        <w:instrText>ADDIN CSL_CITATION { "citationItems" : [ { "id" : "ITEM-1", "itemData" : { "DOI" : "10.1093/conphys/cot009", "ISSN" : "2051-1434", "author" : [ { "dropping-particle" : "", "family" : "Timmins-Schiffman", "given" : "E.", "non-dropping-particle" : "", "parse-names" : false, "suffix" : "" }, { "dropping-particle" : "", "family" : "Nunn", "given" : "B. L.", "non-dropping-particle" : "", "parse-names" : false, "suffix" : "" }, { "dropping-particle" : "", "family" : "Goodlett", "given" : "D. R.", "non-dropping-particle" : "", "parse-names" : false, "suffix" : "" }, { "dropping-particle" : "", "family" : "Roberts", "given" : "S. B.", "non-dropping-particle" : "", "parse-names" : false, "suffix" : "" } ], "container-title" : "Conservation Physiology", "id" : "ITEM-1", "issue" : "1", "issued" : { "date-parts" : [ [ "2013", "5", "17" ] ] }, "page" : "cot009-cot009", "title" : "Shotgun proteomics as a viable approach for biological discovery in the Pacific oyster", "type" : "article-journal", "volume" : "1" }, "uris" : [ "http://www.mendeley.com/documents/?uuid=603186e7-c228-4b5c-926c-1237f8f0b5e8" ] } ], "mendeley" : { "manualFormatting" : "Timmins-Schiffman et al. (2013b)", "previouslyFormattedCitation" : "(E. Timmins-Schiffman, Nunn, Goodlett, &amp; Roberts, 2013)" }, "properties" : { "noteIndex" : 0 }, "schema" : "https://github.com/citation-style-language/schema/raw/master/csl-citation.json" }</w:instrText>
      </w:r>
      <w:r w:rsidRPr="00183126">
        <w:rPr>
          <w:rFonts w:ascii="Times" w:hAnsi="Times"/>
          <w:szCs w:val="22"/>
        </w:rPr>
        <w:fldChar w:fldCharType="separate"/>
      </w:r>
      <w:r w:rsidRPr="00183126">
        <w:rPr>
          <w:rFonts w:ascii="Times" w:hAnsi="Times"/>
          <w:noProof/>
          <w:szCs w:val="22"/>
        </w:rPr>
        <w:t>Timmins-Schiffman et al. (2013b)</w:t>
      </w:r>
      <w:r w:rsidRPr="00183126">
        <w:rPr>
          <w:rFonts w:ascii="Times" w:hAnsi="Times"/>
          <w:szCs w:val="22"/>
        </w:rPr>
        <w:fldChar w:fldCharType="end"/>
      </w:r>
      <w:r w:rsidRPr="00183126">
        <w:rPr>
          <w:rFonts w:ascii="Times" w:hAnsi="Times"/>
          <w:szCs w:val="22"/>
        </w:rPr>
        <w:t xml:space="preserve">.  Each of the 16 protein samples was injected into the LC-MS/MS three times, with injections occurring in a randomized order.  LC-MS/MS and data acquisition were carried out as previously described </w:t>
      </w:r>
      <w:r w:rsidRPr="00183126">
        <w:rPr>
          <w:rFonts w:ascii="Times" w:hAnsi="Times"/>
          <w:szCs w:val="22"/>
        </w:rPr>
        <w:fldChar w:fldCharType="begin" w:fldLock="1"/>
      </w:r>
      <w:r w:rsidRPr="00183126">
        <w:rPr>
          <w:rFonts w:ascii="Times" w:hAnsi="Times"/>
          <w:szCs w:val="22"/>
        </w:rPr>
        <w:instrText>ADDIN CSL_CITATION { "citationItems" : [ { "id" : "ITEM-1", "itemData" : { "DOI" : "10.1093/conphys/cot009", "ISSN" : "2051-1434", "author" : [ { "dropping-particle" : "", "family" : "Timmins-Schiffman", "given" : "E.", "non-dropping-particle" : "", "parse-names" : false, "suffix" : "" }, { "dropping-particle" : "", "family" : "Nunn", "given" : "B. L.", "non-dropping-particle" : "", "parse-names" : false, "suffix" : "" }, { "dropping-particle" : "", "family" : "Goodlett", "given" : "D. R.", "non-dropping-particle" : "", "parse-names" : false, "suffix" : "" }, { "dropping-particle" : "", "family" : "Roberts", "given" : "S. B.", "non-dropping-particle" : "", "parse-names" : false, "suffix" : "" } ], "container-title" : "Conservation Physiology", "id" : "ITEM-1", "issue" : "1", "issued" : { "date-parts" : [ [ "2013", "5", "17" ] ] }, "page" : "cot009-cot009", "title" : "Shotgun proteomics as a viable approach for biological discovery in the Pacific oyster", "type" : "article-journal", "volume" : "1" }, "uris" : [ "http://www.mendeley.com/documents/?uuid=603186e7-c228-4b5c-926c-1237f8f0b5e8" ] } ], "mendeley" : { "manualFormatting" : "(Timmins-Schiffman et al., 2013b)", "previouslyFormattedCitation" : "(E. Timmins-Schiffman et al., 2013)" }, "properties" : { "noteIndex" : 0 }, "schema" : "https://github.com/citation-style-language/schema/raw/master/csl-citation.json" }</w:instrText>
      </w:r>
      <w:r w:rsidRPr="00183126">
        <w:rPr>
          <w:rFonts w:ascii="Times" w:hAnsi="Times"/>
          <w:szCs w:val="22"/>
        </w:rPr>
        <w:fldChar w:fldCharType="separate"/>
      </w:r>
      <w:r w:rsidRPr="00183126">
        <w:rPr>
          <w:rFonts w:ascii="Times" w:hAnsi="Times"/>
          <w:noProof/>
          <w:szCs w:val="22"/>
        </w:rPr>
        <w:t>(Timmins-Schiffman et al., 2013b)</w:t>
      </w:r>
      <w:r w:rsidRPr="00183126">
        <w:rPr>
          <w:rFonts w:ascii="Times" w:hAnsi="Times"/>
          <w:szCs w:val="22"/>
        </w:rPr>
        <w:fldChar w:fldCharType="end"/>
      </w:r>
      <w:r w:rsidRPr="00183126">
        <w:rPr>
          <w:rFonts w:ascii="Times" w:hAnsi="Times"/>
          <w:szCs w:val="22"/>
        </w:rPr>
        <w:t>.</w:t>
      </w:r>
    </w:p>
    <w:p w14:paraId="301F8A64" w14:textId="450CFB77" w:rsidR="00732DA8" w:rsidRDefault="00732DA8" w:rsidP="00732DA8">
      <w:pPr>
        <w:pStyle w:val="Heading3"/>
      </w:pPr>
      <w:bookmarkStart w:id="62" w:name="_Toc257278812"/>
      <w:r>
        <w:t>Protein informatics analysis</w:t>
      </w:r>
      <w:bookmarkEnd w:id="62"/>
    </w:p>
    <w:p w14:paraId="43B55ED5" w14:textId="77777777" w:rsidR="00C85C10" w:rsidRPr="00C85C10" w:rsidRDefault="00C85C10" w:rsidP="00C85C10"/>
    <w:p w14:paraId="7F962973" w14:textId="77777777" w:rsidR="00162C71"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Peptide tandem mass spectra were correlated to </w:t>
      </w:r>
      <w:r w:rsidRPr="00162C71">
        <w:rPr>
          <w:rFonts w:ascii="Times" w:hAnsi="Times"/>
          <w:i/>
          <w:sz w:val="24"/>
        </w:rPr>
        <w:t>in silico</w:t>
      </w:r>
      <w:r w:rsidRPr="00162C71">
        <w:rPr>
          <w:rFonts w:ascii="Times" w:hAnsi="Times"/>
          <w:sz w:val="24"/>
        </w:rPr>
        <w:t xml:space="preserve">-generated tandem mass spectra resulting from the Pacific oyster proteome (Fang et al. 2012) using SEQUEST </w:t>
      </w:r>
      <w:r w:rsidRPr="00162C71">
        <w:rPr>
          <w:rFonts w:ascii="Times" w:hAnsi="Times"/>
          <w:sz w:val="24"/>
        </w:rPr>
        <w:fldChar w:fldCharType="begin" w:fldLock="1"/>
      </w:r>
      <w:r w:rsidRPr="00162C71">
        <w:rPr>
          <w:rFonts w:ascii="Times" w:hAnsi="Times"/>
          <w:sz w:val="24"/>
        </w:rPr>
        <w:instrText>ADDIN CSL_CITATION { "citationItems" : [ { "id" : "ITEM-1", "itemData" : { "author" : [ { "dropping-particle" : "", "family" : "Eng", "given" : "Jimmy K", "non-dropping-particle" : "", "parse-names" : false, "suffix" : "" }, { "dropping-particle" : "", "family" : "Mccormack", "given" : "Ashley L", "non-dropping-particle" : "", "parse-names" : false, "suffix" : "" }, { "dropping-particle" : "", "family" : "Yates", "given" : "John R", "non-dropping-particle" : "", "parse-names" : false, "suffix" : "" } ], "container-title" : "Journal of the American Society of Mass Spectrometry", "id" : "ITEM-1", "issued" : { "date-parts" : [ [ "1994" ] ] }, "page" : "976-989", "title" : "An Approach to correlate tandem mass spectral data of peptides with amino acid sequences in a protein database", "type" : "article-journal", "volume" : "5" }, "uris" : [ "http://www.mendeley.com/documents/?uuid=6ee6bdb7-2c06-4a8b-8626-2429ac04442d" ] } ], "mendeley" : { "manualFormatting" : "(Eng et al., 1994)", "previouslyFormattedCitation" : "(Eng, Mccormack, &amp; Yates, 1994)"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(Eng et al., 1994)</w:t>
      </w:r>
      <w:r w:rsidRPr="00162C71">
        <w:rPr>
          <w:rFonts w:ascii="Times" w:hAnsi="Times"/>
          <w:sz w:val="24"/>
        </w:rPr>
        <w:fldChar w:fldCharType="end"/>
      </w:r>
      <w:r w:rsidRPr="00162C71">
        <w:rPr>
          <w:rFonts w:ascii="Times" w:hAnsi="Times"/>
          <w:sz w:val="24"/>
        </w:rPr>
        <w:t xml:space="preserve">.  Using PeptideProphet from the trans-proteomic pipeline (TPP), peptides were assigned a relative score for best match to the database </w:t>
      </w:r>
      <w:r w:rsidRPr="00162C71">
        <w:rPr>
          <w:rFonts w:ascii="Times" w:hAnsi="Times"/>
          <w:sz w:val="24"/>
        </w:rPr>
        <w:fldChar w:fldCharType="begin" w:fldLock="1"/>
      </w:r>
      <w:r w:rsidRPr="00162C71">
        <w:rPr>
          <w:rFonts w:ascii="Times" w:hAnsi="Times"/>
          <w:sz w:val="24"/>
        </w:rPr>
        <w:instrText>ADDIN CSL_CITATION { "citationItems" : [ { "id" : "ITEM-1", "itemData" : { "DOI" : "10.1021/pr800420s", "ISSN" : "1535-3893", "PMID" : "18774840", "abstract" : "The SEQUEST program was the first and remains one of the most widely used tools for assigning a peptide sequence within a database to a tandem mass spectrum. The cross correlation score is the primary score function implemented within SEQUEST and it is this score that makes the tool particularly sensitive. Unfortunately, this score is computationally expensive to calculate, and thus, to make the score manageable, SEQUEST uses a less sensitive but fast preliminary score and restricts the cross correlation to just the top 500 peptides returned by the preliminary score. Classically, the cross correlation score has been calculated using Fast Fourier Transforms (FFT) to generate the full correlation function. We describe an alternate method of calculating the cross correlation score that does not require FFTs and can be computed efficiently in a fraction of the time. The fast calculation allows all candidate peptides to be scored by the cross correlation function, potentially mitigating the need for the preliminary score, and enables an E-value significance calculation based on the cross correlation score distribution calculated on all candidate peptide sequences obtained from a sequence database.", "author" : [ { "dropping-particle" : "", "family" : "Eng", "given" : "Jimmy K", "non-dropping-particle" : "", "parse-names" : false, "suffix" : "" }, { "dropping-particle" : "", "family" : "Fischer", "given" : "Bernd", "non-dropping-particle" : "", "parse-names" : false, "suffix" : "" }, { "dropping-particle" : "", "family" : "Grossmann", "given" : "Jonas", "non-dropping-particle" : "", "parse-names" : false, "suffix" : "" }, { "dropping-particle" : "", "family" : "Maccoss", "given" : "Michael J", "non-dropping-particle" : "", "parse-names" : false, "suffix" : "" } ], "container-title" : "Journal of proteome research", "id" : "ITEM-1", "issue" : "10", "issued" : { "date-parts" : [ [ "2008", "10" ] ] }, "page" : "4598-602", "title" : "A fast SEQUEST cross correlation algorithm.", "type" : "article-journal", "volume" : "7" }, "uris" : [ "http://www.mendeley.com/documents/?uuid=75c6c0b3-a5d0-461b-b555-9f6bed74dca3" ] }, { "id" : "ITEM-2", "itemData" : { "author" : [ { "dropping-particle" : "", "family" : "Eng", "given" : "Jimmy K", "non-dropping-particle" : "", "parse-names" : false, "suffix" : "" }, { "dropping-particle" : "", "family" : "Mccormack", "given" : "Ashley L", "non-dropping-particle" : "", "parse-names" : false, "suffix" : "" }, { "dropping-particle" : "", "family" : "Yates", "given" : "John R", "non-dropping-particle" : "", "parse-names" : false, "suffix" : "" } ], "container-title" : "Journal of the American Society of Mass Spectrometry", "id" : "ITEM-2", "issued" : { "date-parts" : [ [ "1994" ] ] }, "page" : "976-989", "title" : "An Approach to correlate tandem mass spectral data of peptides with amino acid sequences in a protein database", "type" : "article-journal", "volume" : "5" }, "uris" : [ "http://www.mendeley.com/documents/?uuid=6ee6bdb7-2c06-4a8b-8626-2429ac04442d" ] } ], "mendeley" : { "manualFormatting" : "(Eng et al., 2008; Eng et al., 1994)", "previouslyFormattedCitation" : "(Eng, Fischer, Grossmann, &amp; Maccoss, 2008; Eng et al., 1994)"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(Eng et al., 2008; Eng et al., 1994)</w:t>
      </w:r>
      <w:r w:rsidRPr="00162C71">
        <w:rPr>
          <w:rFonts w:ascii="Times" w:hAnsi="Times"/>
          <w:sz w:val="24"/>
        </w:rPr>
        <w:fldChar w:fldCharType="end"/>
      </w:r>
      <w:r w:rsidRPr="00162C71">
        <w:rPr>
          <w:rFonts w:ascii="Times" w:hAnsi="Times"/>
          <w:sz w:val="24"/>
        </w:rPr>
        <w:t>.  Only peptides with a PeptideProphet probability score of at least 0.9 were considered for further analysis.  Additionally, a protein was considered for analysis only if it had at least 8 spectral counts across all 48 injections (1 spectral count = 1 peptide matched to that protein).  Within a biological replicate, a protein was considered to have a non-zero expression value if it had at least 2 unique peptide matches.</w:t>
      </w:r>
    </w:p>
    <w:p w14:paraId="3EC117D7" w14:textId="77777777" w:rsidR="00162C71"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NSAF (normalized spectral abundance factor), a metric based on spectral counting </w:t>
      </w:r>
      <w:r w:rsidRPr="00162C71">
        <w:rPr>
          <w:rFonts w:ascii="Times" w:hAnsi="Times"/>
          <w:sz w:val="24"/>
        </w:rPr>
        <w:fldChar w:fldCharType="begin" w:fldLock="1"/>
      </w:r>
      <w:r w:rsidRPr="00162C71">
        <w:rPr>
          <w:rFonts w:ascii="Times" w:hAnsi="Times"/>
          <w:sz w:val="24"/>
        </w:rPr>
        <w:instrText>ADDIN CSL_CITATION { "citationItems" : [ { "id" : "ITEM-1", "itemData" : { "DOI" : "10.1016/j.ymeth.2006.07.028", "ISSN" : "1046-2023", "PMID" : "17101441", "abstract" : "Mass spectrometry-based approaches are commonly used to identify proteins from multiprotein complexes, typically with the goal of identifying new complex members or identifying post-translational modifications. However, with the recent demonstration that spectral counting is a powerful quantitative proteomic approach, the analysis of multiprotein complexes by mass spectrometry can be reconsidered in certain cases. Using the chromatography-based approach named multidimensional protein identification technology, multiprotein complexes may be analyzed quantitatively using the normalized spectral abundance factor that allows comparison of multiple independent analyses of samples. This study describes an approach to visualize multiprotein complex datasets that provides structure function information that is superior to tabular lists of data. In this method review, we describe a reanalysis of the Rpd3/Sin3 small and large histone deacetylase complexes previously described in a tabular form to demonstrate the normalized spectral abundance factor approach.", "author" : [ { "dropping-particle" : "", "family" : "Florens", "given" : "Laurence", "non-dropping-particle" : "", "parse-names" : false, "suffix" : "" }, { "dropping-particle" : "", "family" : "Carozza", "given" : "Michael J", "non-dropping-particle" : "", "parse-names" : false, "suffix" : "" }, { "dropping-particle" : "", "family" : "Swanson", "given" : "Selene K", "non-dropping-particle" : "", "parse-names" : false, "suffix" : "" }, { "dropping-particle" : "", "family" : "Fournier", "given" : "Marjorie", "non-dropping-particle" : "", "parse-names" : false, "suffix" : "" }, { "dropping-particle" : "", "family" : "Coleman", "given" : "Michael K", "non-dropping-particle" : "", "parse-names" : false, "suffix" : "" }, { "dropping-particle" : "", "family" : "Workman", "given" : "Jerry L", "non-dropping-particle" : "", "parse-names" : false, "suffix" : "" }, { "dropping-particle" : "", "family" : "Washburn", "given" : "Michael P", "non-dropping-particle" : "", "parse-names" : false, "suffix" : "" } ], "container-title" : "Methods (San Diego, Calif.)", "id" : "ITEM-1", "issue" : "4", "issued" : { "date-parts" : [ [ "2006", "12" ] ] }, "page" : "303-11", "title" : "Analyzing chromatin remodeling complexes using shotgun proteomics and normalized spectral abundance factors.", "type" : "article-journal", "volume" : "40" }, "uris" : [ "http://www.mendeley.com/documents/?uuid=9d03ae14-de82-4bd1-b3dc-0c737fff4cfa" ] } ], "mendeley" : { "previouslyFormattedCitation" : "(Florens et al., 2006)"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(Florens et al., 2006)</w:t>
      </w:r>
      <w:r w:rsidRPr="00162C71">
        <w:rPr>
          <w:rFonts w:ascii="Times" w:hAnsi="Times"/>
          <w:sz w:val="24"/>
        </w:rPr>
        <w:fldChar w:fldCharType="end"/>
      </w:r>
      <w:r w:rsidRPr="00162C71">
        <w:rPr>
          <w:rFonts w:ascii="Times" w:hAnsi="Times"/>
          <w:sz w:val="24"/>
        </w:rPr>
        <w:t xml:space="preserve">, was used to quantify protein expression.  Total spectral counts (SpC) for each oyster were averaged across the three technical replicates.  NSAF was calculated by dividing average SpC for each protein by the protein length (L) and then dividing SpC/L by the sum of all SpC/L within a biological replicate </w:t>
      </w:r>
      <w:r w:rsidRPr="00162C71">
        <w:rPr>
          <w:rFonts w:ascii="Times" w:hAnsi="Times"/>
          <w:sz w:val="24"/>
        </w:rPr>
        <w:fldChar w:fldCharType="begin" w:fldLock="1"/>
      </w:r>
      <w:r w:rsidRPr="00162C71">
        <w:rPr>
          <w:rFonts w:ascii="Times" w:hAnsi="Times"/>
          <w:sz w:val="24"/>
        </w:rPr>
        <w:instrText>ADDIN CSL_CITATION { "citationItems" : [ { "id" : "ITEM-1", "itemData" : { "DOI" : "10.1016/j.ymeth.2006.07.028", "ISSN" : "1046-2023", "PMID" : "17101441", "abstract" : "Mass spectrometry-based approaches are commonly used to identify proteins from multiprotein complexes, typically with the goal of identifying new complex members or identifying post-translational modifications. However, with the recent demonstration that spectral counting is a powerful quantitative proteomic approach, the analysis of multiprotein complexes by mass spectrometry can be reconsidered in certain cases. Using the chromatography-based approach named multidimensional protein identification technology, multiprotein complexes may be analyzed quantitatively using the normalized spectral abundance factor that allows comparison of multiple independent analyses of samples. This study describes an approach to visualize multiprotein complex datasets that provides structure function information that is superior to tabular lists of data. In this method review, we describe a reanalysis of the Rpd3/Sin3 small and large histone deacetylase complexes previously described in a tabular form to demonstrate the normalized spectral abundance factor approach.", "author" : [ { "dropping-particle" : "", "family" : "Florens", "given" : "Laurence", "non-dropping-particle" : "", "parse-names" : false, "suffix" : "" }, { "dropping-particle" : "", "family" : "Carozza", "given" : "Michael J", "non-dropping-particle" : "", "parse-names" : false, "suffix" : "" }, { "dropping-particle" : "", "family" : "Swanson", "given" : "Selene K", "non-dropping-particle" : "", "parse-names" : false, "suffix" : "" }, { "dropping-particle" : "", "family" : "Fournier", "given" : "Marjorie", "non-dropping-particle" : "", "parse-names" : false, "suffix" : "" }, { "dropping-particle" : "", "family" : "Coleman", "given" : "Michael K", "non-dropping-particle" : "", "parse-names" : false, "suffix" : "" }, { "dropping-particle" : "", "family" : "Workman", "given" : "Jerry L", "non-dropping-particle" : "", "parse-names" : false, "suffix" : "" }, { "dropping-particle" : "", "family" : "Washburn", "given" : "Michael P", "non-dropping-particle" : "", "parse-names" : false, "suffix" : "" } ], "container-title" : "Methods (San Diego, Calif.)", "id" : "ITEM-1", "issue" : "4", "issued" : { "date-parts" : [ [ "2006", "12" ] ] }, "page" : "303-11", "title" : "Analyzing chromatin remodeling complexes using shotgun proteomics and normalized spectral abundance factors.", "type" : "article-journal", "volume" : "40" }, "uris" : [ "http://www.mendeley.com/documents/?uuid=9d03ae14-de82-4bd1-b3dc-0c737fff4cfa" ] } ], "mendeley" : { "previouslyFormattedCitation" : "(Florens et al., 2006)"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(Florens et al., 2006)</w:t>
      </w:r>
      <w:r w:rsidRPr="00162C71">
        <w:rPr>
          <w:rFonts w:ascii="Times" w:hAnsi="Times"/>
          <w:sz w:val="24"/>
        </w:rPr>
        <w:fldChar w:fldCharType="end"/>
      </w:r>
      <w:r w:rsidRPr="00162C71">
        <w:rPr>
          <w:rFonts w:ascii="Times" w:hAnsi="Times"/>
          <w:sz w:val="24"/>
        </w:rPr>
        <w:t xml:space="preserve">.  This workflow was executed in SQLShare (Howe et al., 2011) and workflow and input files are available (Timmins-Schiffman and Roberts 2014a). </w:t>
      </w:r>
    </w:p>
    <w:p w14:paraId="10BC5EB6" w14:textId="77777777" w:rsidR="00162C71" w:rsidRPr="00162C71" w:rsidRDefault="00162C71" w:rsidP="00162C71">
      <w:pPr>
        <w:pStyle w:val="normal0"/>
        <w:spacing w:line="360" w:lineRule="auto"/>
        <w:ind w:firstLine="720"/>
        <w:rPr>
          <w:rFonts w:ascii="Times" w:hAnsi="Times"/>
          <w:sz w:val="24"/>
        </w:rPr>
      </w:pPr>
      <w:r w:rsidRPr="00162C71">
        <w:rPr>
          <w:rFonts w:ascii="Times" w:hAnsi="Times"/>
          <w:sz w:val="24"/>
        </w:rPr>
        <w:t>Oyster proteins (Fang et al. 2012) were annotated by comparing sequences to the UniProt-KB/SwissProt database (</w:t>
      </w:r>
      <w:hyperlink r:id="rId26">
        <w:r w:rsidRPr="00162C71">
          <w:rPr>
            <w:rFonts w:ascii="Times" w:hAnsi="Times"/>
            <w:color w:val="1155CC"/>
            <w:sz w:val="24"/>
            <w:u w:val="single"/>
          </w:rPr>
          <w:t>http://uniprot.org</w:t>
        </w:r>
      </w:hyperlink>
      <w:r w:rsidRPr="00162C71">
        <w:rPr>
          <w:rFonts w:ascii="Times" w:hAnsi="Times"/>
          <w:sz w:val="24"/>
        </w:rPr>
        <w:t xml:space="preserve">) using the blastp algorithm </w:t>
      </w:r>
      <w:r w:rsidRPr="00162C71">
        <w:rPr>
          <w:rFonts w:ascii="Times" w:hAnsi="Times"/>
          <w:sz w:val="24"/>
        </w:rPr>
        <w:fldChar w:fldCharType="begin" w:fldLock="1"/>
      </w:r>
      <w:r w:rsidRPr="00162C71">
        <w:rPr>
          <w:rFonts w:ascii="Times" w:hAnsi="Times"/>
          <w:sz w:val="24"/>
        </w:rPr>
        <w:instrText>ADDIN CSL_CITATION { "citationItems" : [ { "id" : "ITEM-1", "itemData" : { "ISSN" : "0305-1048", "PMID" : "9254694", "abstract" : "The BLAST programs are widely used tools for searching protein and DNA databases for sequence similarities. For protein comparisons, a variety of definitional, algorithmic and statistical refinements described here permits the execution time of the BLAST programs to be decreased substantially while enhancing their sensitivity to weak similarities. A new criterion for triggering the extension of word hits, combined with a new heuristic for generating gapped alignments, yields a gapped BLAST program that runs at approximately three times the speed of the original. In addition, a method is introduced for automatically combining statistically significant alignments produced by BLAST into a position-specific score matrix, and searching the database using this matrix. The resulting Position-Specific Iterated BLAST (PSI-BLAST) program runs at approximately the same speed per iteration as gapped BLAST, but in many cases is much more sensitive to weak but biologically relevant sequence similarities. PSI-BLAST is used to uncover several new and interesting members of the BRCT superfamily.", "author" : [ { "dropping-particle" : "", "family" : "Altschul", "given" : "S F", "non-dropping-particle" : "", "parse-names" : false, "suffix" : "" }, { "dropping-particle" : "", "family" : "Madden", "given" : "T L", "non-dropping-particle" : "", "parse-names" : false, "suffix" : "" }, { "dropping-particle" : "", "family" : "Sch\u00e4ffer", "given" : "a a", "non-dropping-particle" : "", "parse-names" : false, "suffix" : "" }, { "dropping-particle" : "", "family" : "Zhang", "given" : "J", "non-dropping-particle" : "", "parse-names" : false, "suffix" : "" }, { "dropping-particle" : "", "family" : "Zhang", "given" : "Z", "non-dropping-particle" : "", "parse-names" : false, "suffix" : "" }, { "dropping-particle" : "", "family" : "Miller", "given" : "W", "non-dropping-particle" : "", "parse-names" : false, "suffix" : "" }, { "dropping-particle" : "", "family" : "Lipman", "given" : "D J", "non-dropping-particle" : "", "parse-names" : false, "suffix" : "" } ], "container-title" : "Nucleic acids research", "id" : "ITEM-1", "issue" : "17", "issued" : { "date-parts" : [ [ "1997", "9", "1" ] ] }, "page" : "3389-402", "title" : "Gapped BLAST and PSI-BLAST: a new generation of protein database search programs.", "type" : "article-journal", "volume" : "25" }, "uris" : [ "http://www.mendeley.com/documents/?uuid=8535eb29-4127-4a8d-a8d7-b92d8f780b39" ] } ], "mendeley" : { "previouslyFormattedCitation" : "(Altschul et al., 1997)"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(Altschul et al., 1997)</w:t>
      </w:r>
      <w:r w:rsidRPr="00162C71">
        <w:rPr>
          <w:rFonts w:ascii="Times" w:hAnsi="Times"/>
          <w:sz w:val="24"/>
        </w:rPr>
        <w:fldChar w:fldCharType="end"/>
      </w:r>
      <w:r w:rsidRPr="00162C71">
        <w:rPr>
          <w:rFonts w:ascii="Times" w:hAnsi="Times"/>
          <w:sz w:val="24"/>
        </w:rPr>
        <w:t xml:space="preserve"> with an e-value limit of 1E-10.  Based on homology with the SwissProt database, oyster proteins were further annotated with Gene Ontology (GO) and GO parent categories (GO Slim).</w:t>
      </w:r>
    </w:p>
    <w:p w14:paraId="47843B9D" w14:textId="258A2A29" w:rsidR="00732DA8"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Fold change in protein expression between treatment groups was found by dividing the average NSAF of four biological replicates in one treatment by the average NSAF of the other treatment.  In order to statistically test for significant expression differences treatments were compared in a pairwise fashion (400 vs. 2800 µatm, 400 µatm vs. 400 + mechanical stress, and 2800 µatm vs. 2800 + mechanical stress) using the qvalue package in R (R Core Team, 2013; Dabney and Storey) with a q-value cut-off of 0.10.  Use of a q-value instead of a p-value from a t-test allows for a multiple comparisons correction using the positive false discovery rate </w:t>
      </w:r>
      <w:r w:rsidRPr="00162C71">
        <w:rPr>
          <w:rFonts w:ascii="Times" w:hAnsi="Times"/>
          <w:sz w:val="24"/>
        </w:rPr>
        <w:fldChar w:fldCharType="begin" w:fldLock="1"/>
      </w:r>
      <w:r w:rsidRPr="00162C71">
        <w:rPr>
          <w:rFonts w:ascii="Times" w:hAnsi="Times"/>
          <w:sz w:val="24"/>
        </w:rPr>
        <w:instrText>ADDIN CSL_CITATION { "citationItems" : [ { "id" : "ITEM-1", "itemData" : { "DOI" : "10.1111/1467-9868.00346", "ISSN" : "13697412", "author" : [ { "dropping-particle" : "", "family" : "Storey", "given" : "John D.", "non-dropping-particle" : "", "parse-names" : false, "suffix" : "" } ], "container-title" : "Journal of the Royal Statistical Society: Series B (Statistical Methodology)", "id" : "ITEM-1", "issue" : "3", "issued" : { "date-parts" : [ [ "2002", "8" ] ] }, "page" : "479-498", "title" : "A direct approach to false discovery rates", "type" : "article-journal", "volume" : "64" }, "uris" : [ "http://www.mendeley.com/documents/?uuid=ce9f64ba-b62c-4aa8-b75f-2cc9597d5291" ] }, { "id" : "ITEM-2", "itemData" : { "DOI" : "10.1073/pnas.1530509100", "ISSN" : "0027-8424", "PMID" : "12883005", "abstract" : "With the increase in genomewide experiments and the sequencing of multiple genomes, the analysis of large data sets has become commonplace in biology. It is often the case that thousands of features in a genomewide data set are tested against some null hypothesis, where a number of features are expected to be significant. Here we propose an approach to measuring statistical significance in these genomewide studies based on the concept of the false discovery rate. This approach offers a sensible balance between the number of true and false positives that is automatically calibrated and easily interpreted. In doing so, a measure of statistical significance called the q value is associated with each tested feature. The q value is similar to the well known p value, except it is a measure of significance in terms of the false discovery rate rather than the false positive rate. Our approach avoids a flood of false positive results, while offering a more liberal criterion than what has been used in genome scans for linkage.", "author" : [ { "dropping-particle" : "", "family" : "Storey", "given" : "John D", "non-dropping-particle" : "", "parse-names" : false, "suffix" : "" }, { "dropping-particle" : "", "family" : "Tibshirani", "given" : "Robert", "non-dropping-particle" : "", "parse-names" : false, "suffix" : "" } ], "container-title" : "Proceedings of the National Academy of Sciences of the United States of America", "id" : "ITEM-2", "issue" : "16", "issued" : { "date-parts" : [ [ "2003", "8", "5" ] ] }, "page" : "9440-5", "title" : "Statistical significance for genomewide studies.", "type" : "article-journal", "volume" : "100" }, "uris" : [ "http://www.mendeley.com/documents/?uuid=1ef88696-211a-45f3-ae0c-d1644ad17d82" ] } ], "mendeley" : { "manualFormatting" : "(Storey and Tibshirani, 2003; Storey, 2002)", "previouslyFormattedCitation" : "(Storey &amp; Tibshirani, 2003; Storey, 2002)"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(Storey and Tibshirani, 2003; Storey, 2002)</w:t>
      </w:r>
      <w:r w:rsidRPr="00162C71">
        <w:rPr>
          <w:rFonts w:ascii="Times" w:hAnsi="Times"/>
          <w:sz w:val="24"/>
        </w:rPr>
        <w:fldChar w:fldCharType="end"/>
      </w:r>
      <w:r w:rsidRPr="00162C71">
        <w:rPr>
          <w:rFonts w:ascii="Times" w:hAnsi="Times"/>
          <w:sz w:val="24"/>
        </w:rPr>
        <w:t xml:space="preserve">.  In an effort to determine the biological processes that were influenced by altered environmental conditions, proteins were considered differentially expressed if either there was 1) a 2-fold difference in expression between treatment groups or 2) a q-value &lt; 0.10. The two caveats to these classifications were that only proteins expressed in more than one oyster were considered for fold-based analysis and only proteins expressed by all oysters within a treatment group were considered significant for the q-value cut-off.  Proteins expressed in only one treatment within a comparison were included in the differentially expressed protein group.  These differentially expressed proteins were visualized in iPath2 using Uniprot-KB/SwissProt annotations </w:t>
      </w:r>
      <w:r w:rsidRPr="00162C71">
        <w:rPr>
          <w:rFonts w:ascii="Times" w:hAnsi="Times"/>
          <w:sz w:val="24"/>
        </w:rPr>
        <w:fldChar w:fldCharType="begin" w:fldLock="1"/>
      </w:r>
      <w:r w:rsidRPr="00162C71">
        <w:rPr>
          <w:rFonts w:ascii="Times" w:hAnsi="Times"/>
          <w:sz w:val="24"/>
        </w:rPr>
        <w:instrText>ADDIN CSL_CITATION { "citationItems" : [ { "id" : "ITEM-1", "itemData" : { "DOI" : "10.1093/nar/gkr313", "ISSN" : "1362-4962", "PMID" : "21546551", "abstract" : "iPath2.0 is a web-based tool (http://pathways.embl.de) for the visualization and analysis of cellular pathways. Its primary map summarizes the metabolism in biological systems as annotated to date. Nodes in the map correspond to various chemical compounds and edges represent series of enzymatic reactions. In two other maps, iPath2.0 provides an overview of secondary metabolite biosynthesis and a hand-picked selection of important regulatory pathways and other functional modules, allowing a more general overview of protein functions in a genome or metagenome. iPath2.0's main interface is an interactive Flash-based viewer, which allows users to easily navigate and explore the complex pathway maps. In addition to the default pre-computed overview maps, iPath offers several data mapping tools. Users can upload various types of data and completely customize all nodes and edges of iPath2.0's maps. These customized maps give users an intuitive overview of their own data, guiding the analysis of various genomics and metagenomics projects.", "author" : [ { "dropping-particle" : "", "family" : "Yamada", "given" : "Takuji", "non-dropping-particle" : "", "parse-names" : false, "suffix" : "" }, { "dropping-particle" : "", "family" : "Letunic", "given" : "Ivica", "non-dropping-particle" : "", "parse-names" : false, "suffix" : "" }, { "dropping-particle" : "", "family" : "Okuda", "given" : "Shujiro", "non-dropping-particle" : "", "parse-names" : false, "suffix" : "" }, { "dropping-particle" : "", "family" : "Kanehisa", "given" : "Minoru", "non-dropping-particle" : "", "parse-names" : false, "suffix" : "" }, { "dropping-particle" : "", "family" : "Bork", "given" : "Peer", "non-dropping-particle" : "", "parse-names" : false, "suffix" : "" } ], "container-title" : "Nucleic acids research", "id" : "ITEM-1", "issue" : "Web Server issue", "issued" : { "date-parts" : [ [ "2011", "7" ] ] }, "page" : "W412-5", "title" : "iPath2.0: interactive pathway explorer.", "type" : "article-journal", "volume" : "39" }, "uris" : [ "http://www.mendeley.com/documents/?uuid=852998b4-b42b-46f0-b845-c69cd559fd99" ] }, { "id" : "ITEM-2", "itemData" : { "DOI" : "10.1016/j.tibs.2008.01.001", "ISSN" : "0968-0004", "PMID" : "18276143", "abstract" : "iPath is an open-access online tool (http://pathways.embl.de) for visualizing and analyzing metabolic pathways. An interactive viewer provides straightforward navigation through various pathways and enables easy access to the underlying chemicals and enzymes. Customized pathway maps can be generated and annotated using various external data. For example, by merging human genome data with two important gut commensals, iPath can pinpoint the complementarity of the host-symbiont metabolic capacities.", "author" : [ { "dropping-particle" : "", "family" : "Letunic", "given" : "Ivica", "non-dropping-particle" : "", "parse-names" : false, "suffix" : "" }, { "dropping-particle" : "", "family" : "Yamada", "given" : "Takuji", "non-dropping-particle" : "", "parse-names" : false, "suffix" : "" }, { "dropping-particle" : "", "family" : "Kanehisa", "given" : "Minoru", "non-dropping-particle" : "", "parse-names" : false, "suffix" : "" }, { "dropping-particle" : "", "family" : "Bork", "given" : "Peer", "non-dropping-particle" : "", "parse-names" : false, "suffix" : "" } ], "container-title" : "Trends in biochemical sciences", "id" : "ITEM-2", "issue" : "3", "issued" : { "date-parts" : [ [ "2008", "3" ] ] }, "page" : "101-3", "title" : "iPath: interactive exploration of biochemical pathways and networks.", "type" : "article-journal", "volume" : "33" }, "uris" : [ "http://www.mendeley.com/documents/?uuid=11ce0598-61f3-4464-a392-9ec918979f18" ] } ], "mendeley" : { "manualFormatting" : "(Letunic et al., 2008; Yamada et al., 2011)", "previouslyFormattedCitation" : "(Letunic, Yamada, Kanehisa, &amp; Bork, 2008; Yamada, Letunic, Okuda, Kanehisa, &amp; Bork, 2011)"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(Letunic et al., 2008; Yamada et al., 2011)</w:t>
      </w:r>
      <w:r w:rsidRPr="00162C71">
        <w:rPr>
          <w:rFonts w:ascii="Times" w:hAnsi="Times"/>
          <w:sz w:val="24"/>
        </w:rPr>
        <w:fldChar w:fldCharType="end"/>
      </w:r>
      <w:r w:rsidRPr="00162C71">
        <w:rPr>
          <w:rFonts w:ascii="Times" w:hAnsi="Times"/>
          <w:sz w:val="24"/>
        </w:rPr>
        <w:t xml:space="preserve"> for each treatment comparison.  Enrichment analysis was performed on differentially expressed proteins using the Database for Annotation, Visualization, and Integrated Discovery (DAVID) v. 6.7 (</w:t>
      </w:r>
      <w:r w:rsidRPr="00162C71">
        <w:rPr>
          <w:rFonts w:ascii="Times" w:hAnsi="Times"/>
          <w:sz w:val="24"/>
        </w:rPr>
        <w:fldChar w:fldCharType="begin" w:fldLock="1"/>
      </w:r>
      <w:r w:rsidRPr="00162C71">
        <w:rPr>
          <w:rFonts w:ascii="Times" w:hAnsi="Times"/>
          <w:sz w:val="24"/>
        </w:rPr>
        <w:instrText>ADDIN CSL_CITATION { "citationItems" : [ { "id" : "ITEM-1", "itemData" : { "DOI" : "10.1038/nprot.2008.211", "ISSN" : "1750-2799", "PMID" : "19131956", "abstract" : "DAVID bioinformatics resources consists of an integrated biological knowledgebase and analytic tools aimed at systematically extracting biological meaning from large gene/protein lists. This protocol explains how to use DAVID, a high-throughput and integrated data-mining environment, to analyze gene lists derived from high-throughput genomic experiments. The procedure first requires uploading a gene list containing any number of common gene identifiers followed by analysis using one or more text and pathway-mining tools such as gene functional classification, functional annotation chart or clustering and functional annotation table. By following this protocol, investigators are able to gain an in-depth understanding of the biological themes in lists of genes that are enriched in genome-scale studies.", "author" : [ { "dropping-particle" : "", "family" : "Huang", "given" : "Da Wei", "non-dropping-particle" : "", "parse-names" : false, "suffix" : "" }, { "dropping-particle" : "", "family" : "Sherman", "given" : "Brad T", "non-dropping-particle" : "", "parse-names" : false, "suffix" : "" }, { "dropping-particle" : "", "family" : "Lempicki", "given" : "Richard a", "non-dropping-particle" : "", "parse-names" : false, "suffix" : "" } ], "container-title" : "Nature protocols", "id" : "ITEM-1", "issue" : "1", "issued" : { "date-parts" : [ [ "2009", "1" ] ] }, "page" : "44-57", "title" : "Systematic and integrative analysis of large gene lists using DAVID bioinformatics resources.", "type" : "article-journal", "volume" : "4" }, "uris" : [ "http://www.mendeley.com/documents/?uuid=2c5212bd-2e8b-4032-95b7-4c52fba459bb" ] }, { "id" : "ITEM-2", "itemData" : { "DOI" : "10.1093/nar/gkn923", "ISSN" : "1362-4962", "PMID" : "19033363", "abstract" : "Functional analysis of large gene lists, derived in most cases from emerging high-throughput genomic, proteomic and bioinformatics scanning approaches, is still a challenging and daunting task. The gene-annotation enrichment analysis is a promising high-throughput strategy that increases the likelihood for investigators to identify biological processes most pertinent to their study. Approximately 68 bioinformatics enrichment tools that are currently available in the community are collected in this survey. Tools are uniquely categorized into three major classes, according to their underlying enrichment algorithms. The comprehensive collections, unique tool classifications and associated questions/issues will provide a more comprehensive and up-to-date view regarding the advantages, pitfalls and recent trends in a simpler tool-class level rather than by a tool-by-tool approach. Thus, the survey will help tool designers/developers and experienced end users understand the underlying algorithms and pertinent details of particular tool categories/tools, enabling them to make the best choices for their particular research interests.", "author" : [ { "dropping-particle" : "", "family" : "Huang", "given" : "Da Wei", "non-dropping-particle" : "", "parse-names" : false, "suffix" : "" }, { "dropping-particle" : "", "family" : "Sherman", "given" : "Brad T", "non-dropping-particle" : "", "parse-names" : false, "suffix" : "" }, { "dropping-particle" : "", "family" : "Lempicki", "given" : "Richard a", "non-dropping-particle" : "", "parse-names" : false, "suffix" : "" } ], "container-title" : "Nucleic acids research", "id" : "ITEM-2", "issue" : "1", "issued" : { "date-parts" : [ [ "2009", "1" ] ] }, "page" : "1-13", "title" : "Bioinformatics enrichment tools: paths toward the comprehensive functional analysis of large gene lists.", "type" : "article-journal", "volume" : "37" }, "uris" : [ "http://www.mendeley.com/documents/?uuid=e8bf1c6f-e0f0-4576-ac7f-e9c9998b6fe8" ] } ], "mendeley" : { "manualFormatting" : "Huang et al., 2009a, 2009b)", "previouslyFormattedCitation" : "(Huang, Sherman, &amp; Lempicki, 2009a, 2009b)"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Huang et al., 2009a, 2009b)</w:t>
      </w:r>
      <w:r w:rsidRPr="00162C71">
        <w:rPr>
          <w:rFonts w:ascii="Times" w:hAnsi="Times"/>
          <w:sz w:val="24"/>
        </w:rPr>
        <w:fldChar w:fldCharType="end"/>
      </w:r>
      <w:r w:rsidRPr="00162C71">
        <w:rPr>
          <w:rFonts w:ascii="Times" w:hAnsi="Times"/>
          <w:sz w:val="24"/>
        </w:rPr>
        <w:t xml:space="preserve"> (</w:t>
      </w:r>
      <w:hyperlink r:id="rId27">
        <w:r w:rsidRPr="00162C71">
          <w:rPr>
            <w:rFonts w:ascii="Times" w:hAnsi="Times"/>
            <w:color w:val="1155CC"/>
            <w:sz w:val="24"/>
            <w:u w:val="single"/>
          </w:rPr>
          <w:t>http://david.abcc.ncifcrf.gov/</w:t>
        </w:r>
      </w:hyperlink>
      <w:r w:rsidRPr="00162C71">
        <w:rPr>
          <w:rFonts w:ascii="Times" w:hAnsi="Times"/>
          <w:color w:val="1155CC"/>
          <w:sz w:val="24"/>
          <w:u w:val="single"/>
        </w:rPr>
        <w:t>)</w:t>
      </w:r>
      <w:r w:rsidRPr="00162C71">
        <w:rPr>
          <w:rFonts w:ascii="Times" w:hAnsi="Times"/>
          <w:sz w:val="24"/>
        </w:rPr>
        <w:t>.  The background protein list was made from the entire sequenced gill proteome.  Biological processes were considered significantly enriched if p-value &lt; 0.075.  Overlaps in the responses to different stressors were explored using a Venn diagram of the proteins that were differentially expressed between treatments in eulerAPE v. 1.0 (http://www.eulerdiagrams.org/eulerAPE/).</w:t>
      </w:r>
    </w:p>
    <w:p w14:paraId="12F5D498" w14:textId="77777777" w:rsidR="00732DA8" w:rsidRPr="00732DA8" w:rsidRDefault="00732DA8" w:rsidP="00732DA8"/>
    <w:p w14:paraId="6F14F1A4" w14:textId="77777777" w:rsidR="00C02D9B" w:rsidRDefault="00C02D9B" w:rsidP="00C02D9B">
      <w:pPr>
        <w:pStyle w:val="Heading2"/>
      </w:pPr>
      <w:bookmarkStart w:id="63" w:name="_Toc257278813"/>
      <w:r>
        <w:t>Results</w:t>
      </w:r>
      <w:bookmarkEnd w:id="63"/>
    </w:p>
    <w:p w14:paraId="0FD3A5F4" w14:textId="16FAFB54" w:rsidR="00EF2726" w:rsidRDefault="00EF2726" w:rsidP="00EF2726">
      <w:pPr>
        <w:pStyle w:val="Heading3"/>
      </w:pPr>
      <w:bookmarkStart w:id="64" w:name="_Toc257278814"/>
      <w:r>
        <w:t>Seawater chemistry analysis</w:t>
      </w:r>
      <w:bookmarkEnd w:id="64"/>
    </w:p>
    <w:p w14:paraId="2003ED18" w14:textId="77777777" w:rsidR="00C85C10" w:rsidRPr="00C85C10" w:rsidRDefault="00C85C10" w:rsidP="00C85C10"/>
    <w:p w14:paraId="0B02AFF7" w14:textId="70CD4253" w:rsidR="002A3DE3" w:rsidRPr="00162C71" w:rsidRDefault="00162C71" w:rsidP="007C548F">
      <w:pPr>
        <w:pStyle w:val="normal0"/>
        <w:spacing w:line="360" w:lineRule="auto"/>
        <w:ind w:firstLine="720"/>
        <w:rPr>
          <w:rFonts w:ascii="Times" w:hAnsi="Times"/>
          <w:sz w:val="24"/>
        </w:rPr>
      </w:pPr>
      <w:r w:rsidRPr="00162C71">
        <w:rPr>
          <w:rFonts w:ascii="Times" w:hAnsi="Times"/>
          <w:sz w:val="24"/>
        </w:rPr>
        <w:t xml:space="preserve">The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levels for the four different treatments remained consistent throughout the one month experiment (Table </w:t>
      </w:r>
      <w:r w:rsidR="006259AF">
        <w:rPr>
          <w:rFonts w:ascii="Times" w:hAnsi="Times"/>
          <w:sz w:val="24"/>
        </w:rPr>
        <w:t>III.</w:t>
      </w:r>
      <w:r w:rsidRPr="00162C71">
        <w:rPr>
          <w:rFonts w:ascii="Times" w:hAnsi="Times"/>
          <w:sz w:val="24"/>
        </w:rPr>
        <w:t xml:space="preserve">1). Average pH (± s.d.) for treatments as measured by the DuraFET probe were 8.02 ± 0.02, 7.73 ± 0.04, 7.63 ± 0.10, and 7.29 ± 0.10 for the 400, 800, 1000, and 2800 µatm treatments, respectively.  Spectrophotometric pH corroborated the DuraFET measurements (spectrophotometric pH data not shown).  The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in containers with oysters was approximately 40 µatm higher than the source water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except for the 2800 µatm treatment where it was approximately 75 µatm lower than the source water.  Total alkalinity was 9% higher in the chambers (data not shown) compared to the source water for 400 µatm, 10% higher at 800 µatm, 13% higher at 1000 µatm, and 3% lower at 2800 µatm.  Calcite was undersaturated (Ω</w:t>
      </w:r>
      <w:r w:rsidRPr="00162C71">
        <w:rPr>
          <w:rFonts w:ascii="Times" w:hAnsi="Times"/>
          <w:sz w:val="24"/>
          <w:vertAlign w:val="subscript"/>
        </w:rPr>
        <w:t>c</w:t>
      </w:r>
      <w:r w:rsidRPr="00162C71">
        <w:rPr>
          <w:rFonts w:ascii="Times" w:hAnsi="Times"/>
          <w:sz w:val="24"/>
        </w:rPr>
        <w:t xml:space="preserve"> &lt; 1.0) only at the highest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level and aragonite was undersaturated at the two highest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levels (1000 µatm and 2800 µatm).</w:t>
      </w:r>
    </w:p>
    <w:p w14:paraId="0A73D9E9" w14:textId="61DEAD03" w:rsidR="00EF2726" w:rsidRPr="00EF2726" w:rsidRDefault="00EF2726" w:rsidP="00EF2726"/>
    <w:p w14:paraId="35888CA0" w14:textId="36E171A8" w:rsidR="00EF2726" w:rsidRDefault="00EF2726" w:rsidP="00EF2726">
      <w:pPr>
        <w:pStyle w:val="Heading3"/>
      </w:pPr>
      <w:bookmarkStart w:id="65" w:name="_Toc257278815"/>
      <w:r>
        <w:t>Oyster growth</w:t>
      </w:r>
      <w:bookmarkEnd w:id="65"/>
    </w:p>
    <w:p w14:paraId="51AB71C8" w14:textId="77777777" w:rsidR="00C85C10" w:rsidRPr="00C85C10" w:rsidRDefault="00C85C10" w:rsidP="00C85C10"/>
    <w:p w14:paraId="1E1F53FE" w14:textId="0DC0E208" w:rsidR="002A3DE3" w:rsidRPr="00992A9D" w:rsidRDefault="00162C71" w:rsidP="00992A9D">
      <w:pPr>
        <w:spacing w:line="360" w:lineRule="auto"/>
        <w:ind w:firstLine="720"/>
        <w:rPr>
          <w:rFonts w:ascii="Times" w:hAnsi="Times"/>
        </w:rPr>
      </w:pPr>
      <w:r w:rsidRPr="00183126">
        <w:rPr>
          <w:rFonts w:ascii="Times" w:hAnsi="Times"/>
          <w:szCs w:val="22"/>
        </w:rPr>
        <w:t>Relative growth rate (RGR) for shell mass</w:t>
      </w:r>
      <w:r>
        <w:rPr>
          <w:rFonts w:ascii="Times" w:hAnsi="Times"/>
          <w:szCs w:val="22"/>
        </w:rPr>
        <w:t xml:space="preserve"> of oysters</w:t>
      </w:r>
      <w:r w:rsidRPr="00183126">
        <w:rPr>
          <w:rFonts w:ascii="Times" w:hAnsi="Times"/>
          <w:szCs w:val="22"/>
        </w:rPr>
        <w:t xml:space="preserve"> exposed to increased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2</w:t>
      </w:r>
      <w:r w:rsidRPr="00183126">
        <w:rPr>
          <w:rFonts w:ascii="Times" w:hAnsi="Times"/>
          <w:szCs w:val="22"/>
        </w:rPr>
        <w:t xml:space="preserve">, as measured by buoyant weight, was not significantly different among treatments (p &gt; 0.05) (Table </w:t>
      </w:r>
      <w:r w:rsidR="006259AF">
        <w:rPr>
          <w:rFonts w:ascii="Times" w:hAnsi="Times"/>
          <w:szCs w:val="22"/>
        </w:rPr>
        <w:t>III.</w:t>
      </w:r>
      <w:r w:rsidRPr="00183126">
        <w:rPr>
          <w:rFonts w:ascii="Times" w:hAnsi="Times"/>
          <w:szCs w:val="22"/>
        </w:rPr>
        <w:t xml:space="preserve">2).  Shell mass changed with time across all treatments (F = 6.1190, p = 0.014), indicating shell growth. </w:t>
      </w:r>
      <w:r w:rsidR="007C548F" w:rsidRPr="00183126">
        <w:rPr>
          <w:rFonts w:ascii="Times" w:hAnsi="Times"/>
          <w:szCs w:val="22"/>
        </w:rPr>
        <w:t xml:space="preserve">  </w:t>
      </w:r>
      <w:r w:rsidR="00426D9F" w:rsidRPr="00B14C1B">
        <w:rPr>
          <w:rFonts w:ascii="Times" w:hAnsi="Times"/>
          <w:szCs w:val="22"/>
        </w:rPr>
        <w:t xml:space="preserve">  </w:t>
      </w:r>
    </w:p>
    <w:p w14:paraId="52879810" w14:textId="74C9B2BD" w:rsidR="00EF2726" w:rsidRDefault="00EF2726" w:rsidP="00EF2726">
      <w:pPr>
        <w:pStyle w:val="Heading3"/>
      </w:pPr>
      <w:bookmarkStart w:id="66" w:name="_Toc257278816"/>
      <w:r>
        <w:t>Micromechanical properties</w:t>
      </w:r>
      <w:bookmarkEnd w:id="66"/>
    </w:p>
    <w:p w14:paraId="3938EB1C" w14:textId="77777777" w:rsidR="00C85C10" w:rsidRPr="00C85C10" w:rsidRDefault="00C85C10" w:rsidP="00C85C10"/>
    <w:p w14:paraId="59AE0316" w14:textId="06BFE44C" w:rsidR="00EF2726" w:rsidRPr="00162C71" w:rsidRDefault="00162C71" w:rsidP="00426D9F">
      <w:pPr>
        <w:pStyle w:val="normal0"/>
        <w:spacing w:line="360" w:lineRule="auto"/>
        <w:ind w:firstLine="720"/>
        <w:rPr>
          <w:rFonts w:ascii="Times" w:hAnsi="Times"/>
          <w:sz w:val="24"/>
        </w:rPr>
      </w:pPr>
      <w:r w:rsidRPr="00162C71">
        <w:rPr>
          <w:rFonts w:ascii="Times" w:hAnsi="Times"/>
          <w:sz w:val="24"/>
        </w:rPr>
        <w:t xml:space="preserve">Micromechanical properties were tested within the outer 3 mm of the growing edge (posterior) of left shell valves for oysters in the treatments of 400, 1000, and 2800 µatm. Both Vickers microhardness and fracture toughness differed significantly among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treatments (microhardness: Welch ANOVA, p = 0.014; fracture toughness: one-way ANOVA, p = 0.003) (Figure </w:t>
      </w:r>
      <w:r w:rsidR="006259AF">
        <w:rPr>
          <w:rFonts w:ascii="Times" w:hAnsi="Times"/>
          <w:sz w:val="24"/>
        </w:rPr>
        <w:t>III.</w:t>
      </w:r>
      <w:r w:rsidRPr="00162C71">
        <w:rPr>
          <w:rFonts w:ascii="Times" w:hAnsi="Times"/>
          <w:sz w:val="24"/>
        </w:rPr>
        <w:t xml:space="preserve">1). The microhardness of shells grown at 1000 µatm was significantly lower than that of shells grown at 400 µatm (Games-Howell: p &lt; 0.05). Shells grown at 2800 µatm showed a trend toward lower microhardness as compared to the 400 µatm control group, but this comparison was not statistically significant (Games-Howell: p = 0.119). In contrast, fracture toughness was significantly lower in shells grown at 2800 µatm as compared to both the 400 and 1000 µatm treatments, but the 400 and 1000 µatm treatments did not differ (Tukey HSD: p &lt; 0.05). Representative cracks formed by micromechanical testing are shown in Figure </w:t>
      </w:r>
      <w:r w:rsidR="006259AF">
        <w:rPr>
          <w:rFonts w:ascii="Times" w:hAnsi="Times"/>
          <w:sz w:val="24"/>
        </w:rPr>
        <w:t>III.</w:t>
      </w:r>
      <w:r w:rsidRPr="00162C71">
        <w:rPr>
          <w:rFonts w:ascii="Times" w:hAnsi="Times"/>
          <w:sz w:val="24"/>
        </w:rPr>
        <w:t>S1.</w:t>
      </w:r>
      <w:r w:rsidR="00EF2726" w:rsidRPr="00162C71">
        <w:rPr>
          <w:rFonts w:ascii="Times" w:hAnsi="Times"/>
          <w:sz w:val="24"/>
        </w:rPr>
        <w:t xml:space="preserve"> </w:t>
      </w:r>
    </w:p>
    <w:p w14:paraId="7523CA81" w14:textId="32FB85E9" w:rsidR="00EF2726" w:rsidRPr="00EF2726" w:rsidRDefault="00EF2726" w:rsidP="00EF2726"/>
    <w:p w14:paraId="01D21DB1" w14:textId="6BC03C72" w:rsidR="00EF2726" w:rsidRDefault="00EF2726" w:rsidP="00EF2726">
      <w:pPr>
        <w:pStyle w:val="Heading3"/>
      </w:pPr>
      <w:bookmarkStart w:id="67" w:name="_Toc257278817"/>
      <w:r>
        <w:t>Fatty acids</w:t>
      </w:r>
      <w:r w:rsidR="00162C71">
        <w:t xml:space="preserve"> and Glycogen</w:t>
      </w:r>
      <w:bookmarkEnd w:id="67"/>
    </w:p>
    <w:p w14:paraId="57A068C3" w14:textId="77777777" w:rsidR="00C85C10" w:rsidRPr="00C85C10" w:rsidRDefault="00C85C10" w:rsidP="00C85C10"/>
    <w:p w14:paraId="17DEDC3F" w14:textId="1F926902" w:rsidR="00162C71"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Fatty acid profiles did not differ among three treatments (400, 800, and 2800 µatm) (p &gt; 0.05; Figure </w:t>
      </w:r>
      <w:r w:rsidR="006259AF">
        <w:rPr>
          <w:rFonts w:ascii="Times" w:hAnsi="Times"/>
          <w:sz w:val="24"/>
        </w:rPr>
        <w:t>III.</w:t>
      </w:r>
      <w:r w:rsidRPr="00162C71">
        <w:rPr>
          <w:rFonts w:ascii="Times" w:hAnsi="Times"/>
          <w:sz w:val="24"/>
        </w:rPr>
        <w:t xml:space="preserve">2).  The nonmetric multidimensional scaling (NMDS) approach shows the relative position of each oyster according to its entire fatty acid profile (i.e. oysters that are plotted close together have similar fatty acid profiles).  Total fatty acid content (per milligram tissue) did not vary among treatments (p &gt; 0.05; data not shown).  Twenty-one fatty acid peaks were identified in the 24 samples, which is within the range of 16-35 fatty acids found in other studies of bivalves </w:t>
      </w:r>
      <w:r w:rsidRPr="00162C71">
        <w:rPr>
          <w:rFonts w:ascii="Times" w:hAnsi="Times"/>
          <w:sz w:val="24"/>
        </w:rPr>
        <w:fldChar w:fldCharType="begin" w:fldLock="1"/>
      </w:r>
      <w:r w:rsidRPr="00162C71">
        <w:rPr>
          <w:rFonts w:ascii="Times" w:hAnsi="Times"/>
          <w:sz w:val="24"/>
        </w:rPr>
        <w:instrText>ADDIN CSL_CITATION { "citationItems" : [ { "id" : "ITEM-1",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"ITEM-1",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"id" : "ITEM-2", "itemData" : { "DOI" : "10.1016/j.aquaculture.2003.11.006", "ISBN" : "1902426223", "ISSN" : "00448486", "author" : [ { "dropping-particle" : "", "family" : "Milke", "given" : "Lisa M.", "non-dropping-particle" : "", "parse-names" : false, "suffix" : "" }, { "dropping-particle" : "", "family" : "Bricelj", "given" : "V.Monica", "non-dropping-particle" : "", "parse-names" : false, "suffix" : "" }, { "dropping-particle" : "", "family" : "Parrish", "given" : "Christopher C.", "non-dropping-particle" : "", "parse-names" : false, "suffix" : "" } ], "container-title" : "Aquaculture", "id" : "ITEM-2", "issue" : "1-4", "issued" : { "date-parts" : [ [ "2004", "5" ] ] }, "page" : "293-317", "title" : "Growth of postlarval sea scallops, Placopecten magellanicus, on microalgal diets, with emphasis on the nutritional role of lipids and fatty acids", "type" : "article-journal", "volume" : "234" }, "uris" : [ "http://www.mendeley.com/documents/?uuid=bb1cd909-a677-445d-9976-93c20021e9a5" ] }, { "id" : "ITEM-3", "itemData" : { "DOI" : "10.1016/j.aquaculture.2010.09.024", "ISSN" : "00448486", "author" : [ { "dropping-particle" : "", "family" : "Pettersen", "given" : "Amanda K.", "non-dropping-particle" : "", "parse-names" : false, "suffix" : "" }, { "dropping-particle" : "", "family" : "Turchini", "given" : "Giovanni M.", "non-dropping-particle" : "", "parse-names" : false, "suffix" : "" }, { "dropping-particle" : "", "family" : "Jahangard", "given" : "Samad", "non-dropping-particle" : "", "parse-names" : false, "suffix" : "" }, { "dropping-particle" : "", "family" : "Ingram", "given" : "Brett a.", "non-dropping-particle" : "", "parse-names" : false, "suffix" : "" }, { "dropping-particle" : "", "family" : "Sherman", "given" : "Craig D.H.", "non-dropping-particle" : "", "parse-names" : false, "suffix" : "" } ], "container-title" : "Aquaculture", "id" : "ITEM-3", "issue" : "1-4", "issued" : { "date-parts" : [ [ "2010", "11" ] ] }, "page" : "115-124", "publisher" : "Elsevier B.V.", "title" : "Effects of different dietary microalgae on survival, growth, settlement and fatty acid composition of blue mussel (Mytilus galloprovincialis) larvae", "type" : "article-journal", "volume" : "309" }, "uris" : [ "http://www.mendeley.com/documents/?uuid=1e8d7154-3f99-48f0-89ac-1e7d1c029c7d" ] }, { "id" : "ITEM-4", "itemData" : { "author" : [ { "dropping-particle" : "", "family" : "Both", "given" : "Adrianus", "non-dropping-particle" : "", "parse-names" : false, "suffix" : "" }, { "dropping-particle" : "", "family" : "Parrish", "given" : "Christopher C", "non-dropping-particle" : "", "parse-names" : false, "suffix" : "" }, { "dropping-particle" : "", "family" : "Penney", "given" : "Randy W", "non-dropping-particle" : "", "parse-names" : false, "suffix" : "" }, { "dropping-particle" : "", "family" : "Thompson", "given" : "Raymond J", "non-dropping-particle" : "", "parse-names" : false, "suffix" : "" } ], "id" : "ITEM-4", "issued" : { "date-parts" : [ [ "2011" ] ] }, "page" : "295-301", "title" : "Lipid composition of Mytilus edulis reared on organic waste from a Gadus morhua aquaculture facility", "type" : "article-journal", "volume" : "301" }, "uris" : [ "http://www.mendeley.com/documents/?uuid=0f65e703-8f5e-4f8a-8bfc-bc4f40cd2919" ] } ], "mendeley" : { "manualFormatting" : "(Both et al., 2011; Milke et al., 2004; Pettersen et al., 2010; Soudant et al., 1999)", "previouslyFormattedCitation" : "(Both, Parrish, Penney, &amp; Thompson, 2011; Milke, Bricelj, &amp; Parrish, 2004; Pettersen, Turchini, Jahangard, Ingram, &amp; Sherman, 2010; Soudant et al., 1999)"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(Both et al., 2011; Milke et al., 2004; Pettersen et al., 2010; Soudant et al., 1999)</w:t>
      </w:r>
      <w:r w:rsidRPr="00162C71">
        <w:rPr>
          <w:rFonts w:ascii="Times" w:hAnsi="Times"/>
          <w:sz w:val="24"/>
        </w:rPr>
        <w:fldChar w:fldCharType="end"/>
      </w:r>
      <w:r w:rsidRPr="00162C71">
        <w:rPr>
          <w:rFonts w:ascii="Times" w:hAnsi="Times"/>
          <w:sz w:val="24"/>
        </w:rPr>
        <w:t xml:space="preserve">.  Some of the more important fatty acids identified were 16:0; 18:0; 18:1n-9; 18:1n-7; 18:2n-6; α-linolenic acid (18:3n-3); arachidonic acid (20:4n-6); eicosapentaenoic acid (20:5n-3); two docosapentaenoic acids (22:5n-6 and 22:5n-3); and docosahexaenoic acid (22:6n-3).  Raw and normalized fatty acid data are available in Table </w:t>
      </w:r>
      <w:r w:rsidR="006259AF">
        <w:rPr>
          <w:rFonts w:ascii="Times" w:hAnsi="Times"/>
          <w:sz w:val="24"/>
        </w:rPr>
        <w:t>III.</w:t>
      </w:r>
      <w:r w:rsidRPr="00162C71">
        <w:rPr>
          <w:rFonts w:ascii="Times" w:hAnsi="Times"/>
          <w:sz w:val="24"/>
        </w:rPr>
        <w:t>S1.</w:t>
      </w:r>
    </w:p>
    <w:p w14:paraId="2551F80E" w14:textId="7994726F" w:rsidR="00162C71" w:rsidRDefault="00162C71" w:rsidP="00992A9D">
      <w:pPr>
        <w:spacing w:line="360" w:lineRule="auto"/>
        <w:rPr>
          <w:rFonts w:ascii="Times" w:hAnsi="Times"/>
          <w:szCs w:val="22"/>
        </w:rPr>
      </w:pPr>
      <w:r>
        <w:rPr>
          <w:rFonts w:ascii="Times" w:hAnsi="Times"/>
          <w:szCs w:val="22"/>
        </w:rPr>
        <w:tab/>
        <w:t xml:space="preserve">Glycogen content did not differ among treatments (400, 800, and 2800 µatm) (p &gt; 0.05, Figure </w:t>
      </w:r>
      <w:r w:rsidR="006259AF">
        <w:rPr>
          <w:rFonts w:ascii="Times" w:hAnsi="Times"/>
          <w:szCs w:val="22"/>
        </w:rPr>
        <w:t>III.</w:t>
      </w:r>
      <w:r>
        <w:rPr>
          <w:rFonts w:ascii="Times" w:hAnsi="Times"/>
          <w:szCs w:val="22"/>
        </w:rPr>
        <w:t>S2).   For whole body tissue, glycogen measurements ranged from 2466-102127 µg/mg of tissue with a mean (± 95% confidence interval) glycogen content of 10927 ± 8312 µg/mg of tissue.</w:t>
      </w:r>
    </w:p>
    <w:p w14:paraId="7FB33E8F" w14:textId="6C84CBC6" w:rsidR="002A3DE3" w:rsidRDefault="002A3DE3" w:rsidP="002A3DE3"/>
    <w:p w14:paraId="45924201" w14:textId="5DF8CE56" w:rsidR="00EF2726" w:rsidRDefault="00EF2726" w:rsidP="00EF2726">
      <w:pPr>
        <w:pStyle w:val="Heading3"/>
      </w:pPr>
      <w:bookmarkStart w:id="68" w:name="_Toc257278818"/>
      <w:r>
        <w:t>Heat shock response</w:t>
      </w:r>
      <w:bookmarkEnd w:id="68"/>
    </w:p>
    <w:p w14:paraId="3FDFE7A4" w14:textId="77777777" w:rsidR="00C85C10" w:rsidRPr="00C85C10" w:rsidRDefault="00C85C10" w:rsidP="00C85C10"/>
    <w:p w14:paraId="15C0F573" w14:textId="2CCEEBB7" w:rsidR="002A3DE3" w:rsidRPr="00160C02" w:rsidRDefault="00162C71" w:rsidP="00992A9D">
      <w:pPr>
        <w:spacing w:line="360" w:lineRule="auto"/>
        <w:ind w:firstLine="720"/>
        <w:rPr>
          <w:rFonts w:ascii="Times" w:hAnsi="Times"/>
          <w:szCs w:val="22"/>
        </w:rPr>
      </w:pPr>
      <w:r w:rsidRPr="00183126">
        <w:rPr>
          <w:rFonts w:ascii="Times" w:hAnsi="Times"/>
          <w:szCs w:val="22"/>
        </w:rPr>
        <w:t xml:space="preserve">Although </w:t>
      </w:r>
      <w:r w:rsidRPr="00183126">
        <w:rPr>
          <w:rFonts w:ascii="Times" w:hAnsi="Times"/>
          <w:i/>
          <w:szCs w:val="22"/>
        </w:rPr>
        <w:t>p</w:t>
      </w:r>
      <w:r w:rsidRPr="00183126">
        <w:rPr>
          <w:rFonts w:ascii="Times" w:hAnsi="Times"/>
          <w:szCs w:val="22"/>
        </w:rPr>
        <w:t>CO</w:t>
      </w:r>
      <w:r w:rsidRPr="00183126">
        <w:rPr>
          <w:rFonts w:ascii="Times" w:hAnsi="Times"/>
          <w:szCs w:val="22"/>
          <w:vertAlign w:val="subscript"/>
        </w:rPr>
        <w:t>2</w:t>
      </w:r>
      <w:r w:rsidRPr="00183126">
        <w:rPr>
          <w:rFonts w:ascii="Times" w:hAnsi="Times"/>
          <w:szCs w:val="22"/>
        </w:rPr>
        <w:t xml:space="preserve"> did not affect risk of oyster mortality in response to heat shock (p &gt; 0.05) (Figure </w:t>
      </w:r>
      <w:r w:rsidR="006259AF">
        <w:rPr>
          <w:rFonts w:ascii="Times" w:hAnsi="Times"/>
          <w:szCs w:val="22"/>
        </w:rPr>
        <w:t>III.</w:t>
      </w:r>
      <w:r w:rsidRPr="00183126">
        <w:rPr>
          <w:rFonts w:ascii="Times" w:hAnsi="Times"/>
          <w:szCs w:val="22"/>
        </w:rPr>
        <w:t>3), increased temperature did increase mortality risk (z = 2.073, p = 0.0382).  One hundred percent mortality (n = 8 oysters per temperature per treatment) occurred across all three treatments by day 5 post-heat shock at the lethal temperature (44°C).  No mortality occurred by day 6 post-heat shock in the 42°C group (data not shown).</w:t>
      </w:r>
    </w:p>
    <w:p w14:paraId="03A7F89A" w14:textId="2D10A165" w:rsidR="00EF2726" w:rsidRDefault="00EF2726" w:rsidP="00EF2726">
      <w:pPr>
        <w:pStyle w:val="Heading3"/>
      </w:pPr>
      <w:bookmarkStart w:id="69" w:name="_Toc257278819"/>
      <w:r>
        <w:t>Proteomics</w:t>
      </w:r>
      <w:bookmarkEnd w:id="69"/>
    </w:p>
    <w:p w14:paraId="0BC66083" w14:textId="77777777" w:rsidR="00C85C10" w:rsidRPr="00C85C10" w:rsidRDefault="00C85C10" w:rsidP="00C85C10"/>
    <w:p w14:paraId="6FBB60D7" w14:textId="24712C94" w:rsidR="00162C71"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After filtering, 700 733 peptides were considered for analysis corresponding to 1 616 proteins (Table </w:t>
      </w:r>
      <w:r w:rsidR="006259AF">
        <w:rPr>
          <w:rFonts w:ascii="Times" w:hAnsi="Times"/>
          <w:sz w:val="24"/>
        </w:rPr>
        <w:t>III.</w:t>
      </w:r>
      <w:r w:rsidRPr="00162C71">
        <w:rPr>
          <w:rFonts w:ascii="Times" w:hAnsi="Times"/>
          <w:sz w:val="24"/>
        </w:rPr>
        <w:t xml:space="preserve">S2, Table </w:t>
      </w:r>
      <w:r w:rsidR="006259AF">
        <w:rPr>
          <w:rFonts w:ascii="Times" w:hAnsi="Times"/>
          <w:sz w:val="24"/>
        </w:rPr>
        <w:t>III.</w:t>
      </w:r>
      <w:r w:rsidRPr="00162C71">
        <w:rPr>
          <w:rFonts w:ascii="Times" w:hAnsi="Times"/>
          <w:sz w:val="24"/>
        </w:rPr>
        <w:t xml:space="preserve">S3, Table </w:t>
      </w:r>
      <w:r w:rsidR="006259AF">
        <w:rPr>
          <w:rFonts w:ascii="Times" w:hAnsi="Times"/>
          <w:sz w:val="24"/>
        </w:rPr>
        <w:t>III.</w:t>
      </w:r>
      <w:r w:rsidRPr="00162C71">
        <w:rPr>
          <w:rFonts w:ascii="Times" w:hAnsi="Times"/>
          <w:sz w:val="24"/>
        </w:rPr>
        <w:t xml:space="preserve">3).  Eighty-nine percent (1 449) of proteins were annotated using the UniProt-KB/SwissProt database and 77% (1 250) of those were further categorized with Gene Ontology information (Table </w:t>
      </w:r>
      <w:r w:rsidR="006259AF">
        <w:rPr>
          <w:rFonts w:ascii="Times" w:hAnsi="Times"/>
          <w:sz w:val="24"/>
        </w:rPr>
        <w:t>III.</w:t>
      </w:r>
      <w:r w:rsidRPr="00162C71">
        <w:rPr>
          <w:rFonts w:ascii="Times" w:hAnsi="Times"/>
          <w:sz w:val="24"/>
        </w:rPr>
        <w:t xml:space="preserve">S4).  </w:t>
      </w:r>
      <w:r w:rsidR="00EC50CE">
        <w:rPr>
          <w:rFonts w:ascii="Times" w:hAnsi="Times"/>
          <w:sz w:val="24"/>
        </w:rPr>
        <w:t>Raw files and Protein Prophet search files have been deposited to the ProteomeXchange with identifier PXD000835.</w:t>
      </w:r>
    </w:p>
    <w:p w14:paraId="027F1B9C" w14:textId="77777777" w:rsidR="00162C71" w:rsidRPr="00162C71" w:rsidRDefault="00162C71" w:rsidP="00162C71">
      <w:pPr>
        <w:pStyle w:val="normal0"/>
        <w:spacing w:line="360" w:lineRule="auto"/>
        <w:rPr>
          <w:rFonts w:ascii="Times" w:hAnsi="Times"/>
          <w:sz w:val="24"/>
        </w:rPr>
      </w:pPr>
    </w:p>
    <w:p w14:paraId="6152DAC1" w14:textId="25A03552" w:rsidR="00162C71" w:rsidRPr="00162C71" w:rsidRDefault="00162C71" w:rsidP="00162C71">
      <w:pPr>
        <w:pStyle w:val="normal0"/>
        <w:spacing w:line="360" w:lineRule="auto"/>
        <w:rPr>
          <w:rFonts w:ascii="Times" w:hAnsi="Times"/>
          <w:sz w:val="24"/>
        </w:rPr>
      </w:pPr>
      <w:r w:rsidRPr="00162C71">
        <w:rPr>
          <w:rFonts w:ascii="Times" w:hAnsi="Times"/>
          <w:sz w:val="24"/>
        </w:rPr>
        <w:tab/>
        <w:t xml:space="preserve">Pairwise comparisons were made based on gill protein expression between 1) oysters held at 400 </w:t>
      </w:r>
      <w:bookmarkStart w:id="70" w:name="OLE_LINK1"/>
      <w:bookmarkStart w:id="71" w:name="OLE_LINK2"/>
      <w:r w:rsidRPr="00162C71">
        <w:rPr>
          <w:rFonts w:ascii="Times" w:hAnsi="Times"/>
          <w:sz w:val="24"/>
        </w:rPr>
        <w:t xml:space="preserve">µatm </w:t>
      </w:r>
      <w:bookmarkEnd w:id="70"/>
      <w:bookmarkEnd w:id="71"/>
      <w:r w:rsidRPr="00162C71">
        <w:rPr>
          <w:rFonts w:ascii="Times" w:hAnsi="Times"/>
          <w:sz w:val="24"/>
        </w:rPr>
        <w:t xml:space="preserve">versus oysters held at 2800 µatm, 2) </w:t>
      </w:r>
      <w:bookmarkStart w:id="72" w:name="OLE_LINK3"/>
      <w:bookmarkStart w:id="73" w:name="OLE_LINK4"/>
      <w:r w:rsidRPr="00162C71">
        <w:rPr>
          <w:rFonts w:ascii="Times" w:hAnsi="Times"/>
          <w:sz w:val="24"/>
        </w:rPr>
        <w:t xml:space="preserve">oysters held at 400 µatm versus oysters held at 400 µatm </w:t>
      </w:r>
      <w:bookmarkStart w:id="74" w:name="OLE_LINK5"/>
      <w:bookmarkStart w:id="75" w:name="OLE_LINK6"/>
      <w:r w:rsidRPr="00162C71">
        <w:rPr>
          <w:rFonts w:ascii="Times" w:hAnsi="Times"/>
          <w:sz w:val="24"/>
        </w:rPr>
        <w:t xml:space="preserve">subjected to </w:t>
      </w:r>
      <w:bookmarkEnd w:id="74"/>
      <w:bookmarkEnd w:id="75"/>
      <w:r w:rsidRPr="00162C71">
        <w:rPr>
          <w:rFonts w:ascii="Times" w:hAnsi="Times"/>
          <w:sz w:val="24"/>
        </w:rPr>
        <w:t>subsequent mechanical stress</w:t>
      </w:r>
      <w:bookmarkEnd w:id="72"/>
      <w:bookmarkEnd w:id="73"/>
      <w:r w:rsidRPr="00162C71">
        <w:rPr>
          <w:rFonts w:ascii="Times" w:hAnsi="Times"/>
          <w:sz w:val="24"/>
        </w:rPr>
        <w:t xml:space="preserve">, and 3) oysters held at 2800 µatm versus oysters held at 2800 µatm subjected to subsequent mechanical stress.  The proteomic response of oyster gill tissues under high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conditions compared to 400 µatm was characterized by increased expression of 148 proteins and decreased expression of 136 proteins (Figure </w:t>
      </w:r>
      <w:r w:rsidR="006259AF">
        <w:rPr>
          <w:rFonts w:ascii="Times" w:hAnsi="Times"/>
          <w:sz w:val="24"/>
        </w:rPr>
        <w:t>III.</w:t>
      </w:r>
      <w:r w:rsidRPr="00162C71">
        <w:rPr>
          <w:rFonts w:ascii="Times" w:hAnsi="Times"/>
          <w:sz w:val="24"/>
        </w:rPr>
        <w:t xml:space="preserve">4A, Figure </w:t>
      </w:r>
      <w:r w:rsidR="006259AF">
        <w:rPr>
          <w:rFonts w:ascii="Times" w:hAnsi="Times"/>
          <w:sz w:val="24"/>
        </w:rPr>
        <w:t>III.</w:t>
      </w:r>
      <w:r w:rsidRPr="00162C71">
        <w:rPr>
          <w:rFonts w:ascii="Times" w:hAnsi="Times"/>
          <w:sz w:val="24"/>
        </w:rPr>
        <w:t xml:space="preserve">S3). </w:t>
      </w:r>
      <w:r w:rsidRPr="00162C71">
        <w:rPr>
          <w:rFonts w:ascii="Times" w:hAnsi="Times"/>
          <w:b/>
          <w:sz w:val="24"/>
        </w:rPr>
        <w:t xml:space="preserve"> </w:t>
      </w:r>
      <w:r w:rsidRPr="00162C71">
        <w:rPr>
          <w:rFonts w:ascii="Times" w:hAnsi="Times"/>
          <w:sz w:val="24"/>
        </w:rPr>
        <w:t xml:space="preserve">Proteins identified as differentially expressed include those involved in carbohydrate metabolism (i.e. α-L-fucosidase, probable β-D-xylosidase 5, succinyl-CoA ligase, and UDP-glucose 4-epimerase), cell growth (i.e. thymidine phosphorylase and tyrosine-protein kinase Yes), transcription and translation (i.e. calcium-regulated heat stable protein 1, prohibitin-2, and translational activator BCN1), response to reactive oxygen species (i.e. glutathione S-transferase Ω-1), and signaling (i.e. dual specificity mitogen-activated protein kinase kinase 1, calcium-dependent protein kinase C). Gene enrichment analysis revealed enriched proteins are associated with transcription (i.e. transcription elongation regulator 1, 5’-3’ exoribonuclease 2), cell junction organization and cell adhesion (i.e. myosin heavy chain 95F, protocadherin Fat 4), and cell proliferation and tissue development (i.e. integrin β-PS, growth arrest-specific protein 8) (Table </w:t>
      </w:r>
      <w:r w:rsidR="006259AF">
        <w:rPr>
          <w:rFonts w:ascii="Times" w:hAnsi="Times"/>
          <w:sz w:val="24"/>
        </w:rPr>
        <w:t>III.</w:t>
      </w:r>
      <w:r w:rsidRPr="00162C71">
        <w:rPr>
          <w:rFonts w:ascii="Times" w:hAnsi="Times"/>
          <w:sz w:val="24"/>
        </w:rPr>
        <w:t xml:space="preserve">S5).  </w:t>
      </w:r>
    </w:p>
    <w:p w14:paraId="429F08F7" w14:textId="09F356B8" w:rsidR="00162C71"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Two hundred forty-five proteins were differentially expressed upon mechanical stimulation at 400 µatm. One hundred seven were elevated under mechanical stress and 138 proteins were expressed at a lower level (Figure </w:t>
      </w:r>
      <w:r w:rsidR="006259AF">
        <w:rPr>
          <w:rFonts w:ascii="Times" w:hAnsi="Times"/>
          <w:sz w:val="24"/>
        </w:rPr>
        <w:t>III.</w:t>
      </w:r>
      <w:r w:rsidRPr="00162C71">
        <w:rPr>
          <w:rFonts w:ascii="Times" w:hAnsi="Times"/>
          <w:sz w:val="24"/>
        </w:rPr>
        <w:t xml:space="preserve">4B, Figure </w:t>
      </w:r>
      <w:r w:rsidR="006259AF">
        <w:rPr>
          <w:rFonts w:ascii="Times" w:hAnsi="Times"/>
          <w:sz w:val="24"/>
        </w:rPr>
        <w:t>III.</w:t>
      </w:r>
      <w:r w:rsidRPr="00162C71">
        <w:rPr>
          <w:rFonts w:ascii="Times" w:hAnsi="Times"/>
          <w:sz w:val="24"/>
        </w:rPr>
        <w:t xml:space="preserve">S3).  The proteins that were differentially expressed included those involved in apoptosis (i.e. programmed cell death protein 5, CDGSH iron-sulfur domain-containing protein 2), carbohydrate metabolism (i.e. α-L-fucosidase, lysosomal α-mannosidase, phosphoacetylglucosamine mutase), and transcription and translation (i.e. histone deacetylase complex subunit SAP18, eukaryotic translation initiation factor 3 subunit A). Significantly enriched biological processes in the response to mechanical stress included RNA metabolism (i.e. histone deacetylase complex subunit SAP18, U1 small nuclear ribonucleoprotein A), transcription (i.e. nucleosome assembly protein 1-like 1), and gamete generation (i.e. tyrosine-protein kinase Btk29A).  </w:t>
      </w:r>
    </w:p>
    <w:p w14:paraId="44653257" w14:textId="0275978E" w:rsidR="002A3DE3" w:rsidRPr="00992A9D" w:rsidRDefault="00162C71" w:rsidP="00992A9D">
      <w:pPr>
        <w:pStyle w:val="normal0"/>
        <w:spacing w:line="360" w:lineRule="auto"/>
        <w:ind w:firstLine="720"/>
        <w:rPr>
          <w:rFonts w:ascii="Times" w:hAnsi="Times"/>
          <w:sz w:val="24"/>
        </w:rPr>
      </w:pPr>
      <w:r w:rsidRPr="00162C71">
        <w:rPr>
          <w:rFonts w:ascii="Times" w:hAnsi="Times"/>
          <w:sz w:val="24"/>
        </w:rPr>
        <w:t xml:space="preserve">One hundred forty-nine proteins were elevated and 137 proteins were expressed at decreased levels when oysters held at 2800 µatm were subjected to mechanical stress (Figure </w:t>
      </w:r>
      <w:r w:rsidR="00511229">
        <w:rPr>
          <w:rFonts w:ascii="Times" w:hAnsi="Times"/>
          <w:sz w:val="24"/>
        </w:rPr>
        <w:t>III.</w:t>
      </w:r>
      <w:r w:rsidRPr="00162C71">
        <w:rPr>
          <w:rFonts w:ascii="Times" w:hAnsi="Times"/>
          <w:sz w:val="24"/>
        </w:rPr>
        <w:t xml:space="preserve">4C, Figure </w:t>
      </w:r>
      <w:r w:rsidR="00511229">
        <w:rPr>
          <w:rFonts w:ascii="Times" w:hAnsi="Times"/>
          <w:sz w:val="24"/>
        </w:rPr>
        <w:t>III.</w:t>
      </w:r>
      <w:r w:rsidRPr="00162C71">
        <w:rPr>
          <w:rFonts w:ascii="Times" w:hAnsi="Times"/>
          <w:sz w:val="24"/>
        </w:rPr>
        <w:t xml:space="preserve">S3).  Differentially expressed proteins included those involved in response to reactive oxygen species (i.e. glutathione S-transferase μ 3 and dual oxidase 2), apoptosis (i.e. caspase-7 and engulfment cell motility protein 2), cell adhesion (i.e. protocadherin Fat 4, contactin), and signaling (i.e. E3 ubiquitin-protein ligase M|B2, prohormone-4).  Polysaccharide metabolism and synthesis processes were affected by mechanical stress at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as evidenced by their enrichment in this treatment, resulting from the differential expression of proteins including glycogen debranching enzyme, glycogenin-1, UDP-glucose 6-dehydrogenase, putative glycogen [starch] synthase, lysosomal α-glucosidase, and β-hexosaminidase subunit β (Table </w:t>
      </w:r>
      <w:r w:rsidR="00511229">
        <w:rPr>
          <w:rFonts w:ascii="Times" w:hAnsi="Times"/>
          <w:sz w:val="24"/>
        </w:rPr>
        <w:t>III.</w:t>
      </w:r>
      <w:r w:rsidRPr="00162C71">
        <w:rPr>
          <w:rFonts w:ascii="Times" w:hAnsi="Times"/>
          <w:sz w:val="24"/>
        </w:rPr>
        <w:t>S3).  Transcription was also significantly enriched in this stress response (i.e. transcription elongation regulator 1 and basic leucine zipper and W2 domain-containing protein 1).</w:t>
      </w:r>
    </w:p>
    <w:p w14:paraId="02958CA4" w14:textId="5A2C2DA3" w:rsidR="00162C71"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The magnitude of the proteomic responses in the three different between-treatment comparisons was similar (245-286 differentially expressed proteins), though many proteins were treatment specific (Figure </w:t>
      </w:r>
      <w:r w:rsidR="00511229">
        <w:rPr>
          <w:rFonts w:ascii="Times" w:hAnsi="Times"/>
          <w:sz w:val="24"/>
        </w:rPr>
        <w:t>III.</w:t>
      </w:r>
      <w:r w:rsidRPr="00162C71">
        <w:rPr>
          <w:rFonts w:ascii="Times" w:hAnsi="Times"/>
          <w:sz w:val="24"/>
        </w:rPr>
        <w:t xml:space="preserve">5).  In addition, for those proteins identified as differentially expressed in more than one comparison, the directional responses of the proteins to each treatment often diverged.   For example, proteins in carbohydrate metabolism and nucleotide metabolism were affected differently across treatments (Figure </w:t>
      </w:r>
      <w:r w:rsidR="00511229">
        <w:rPr>
          <w:rFonts w:ascii="Times" w:hAnsi="Times"/>
          <w:sz w:val="24"/>
        </w:rPr>
        <w:t>III.</w:t>
      </w:r>
      <w:r w:rsidRPr="00162C71">
        <w:rPr>
          <w:rFonts w:ascii="Times" w:hAnsi="Times"/>
          <w:sz w:val="24"/>
        </w:rPr>
        <w:t xml:space="preserve">S4).  These contrasting proteomic profile variations were the most dramatic in a comparison between the responses to ocean acidification alone and to mechanical stimulation at high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All 75 differentially expressed proteins shared between these two responses had opposite relative levels in response to stress, i.e. if a protein was found at an increased level in response to ocean acidification then it was found at decreased levels in response to ocean acidification and mechanical stimulation (Table </w:t>
      </w:r>
      <w:r w:rsidR="00511229">
        <w:rPr>
          <w:rFonts w:ascii="Times" w:hAnsi="Times"/>
          <w:sz w:val="24"/>
        </w:rPr>
        <w:t>III.</w:t>
      </w:r>
      <w:r w:rsidRPr="00162C71">
        <w:rPr>
          <w:rFonts w:ascii="Times" w:hAnsi="Times"/>
          <w:sz w:val="24"/>
        </w:rPr>
        <w:t xml:space="preserve">S3, Figures </w:t>
      </w:r>
      <w:r w:rsidR="00511229">
        <w:rPr>
          <w:rFonts w:ascii="Times" w:hAnsi="Times"/>
          <w:sz w:val="24"/>
        </w:rPr>
        <w:t>III.</w:t>
      </w:r>
      <w:r w:rsidRPr="00162C71">
        <w:rPr>
          <w:rFonts w:ascii="Times" w:hAnsi="Times"/>
          <w:sz w:val="24"/>
        </w:rPr>
        <w:t xml:space="preserve">S2 and </w:t>
      </w:r>
      <w:r w:rsidR="00511229">
        <w:rPr>
          <w:rFonts w:ascii="Times" w:hAnsi="Times"/>
          <w:sz w:val="24"/>
        </w:rPr>
        <w:t>III.</w:t>
      </w:r>
      <w:r w:rsidRPr="00162C71">
        <w:rPr>
          <w:rFonts w:ascii="Times" w:hAnsi="Times"/>
          <w:sz w:val="24"/>
        </w:rPr>
        <w:t xml:space="preserve">S3).  Many differentially expressed proteins that were common across stress responses were consistent in having either increased or decreased levels in response to stress:  96% of the proteins (n = 79) in the responses to ocean acidification and to mechanical stress at low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had the same directional change and 76% of the proteins (n = 25) in the responses to mechanical stress at both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w:t>
      </w:r>
    </w:p>
    <w:p w14:paraId="5DCC955A" w14:textId="2FF82D0B" w:rsidR="002A3DE3" w:rsidRPr="00992A9D" w:rsidRDefault="00162C71" w:rsidP="00992A9D">
      <w:pPr>
        <w:pStyle w:val="normal0"/>
        <w:spacing w:line="360" w:lineRule="auto"/>
        <w:ind w:firstLine="720"/>
        <w:rPr>
          <w:rFonts w:ascii="Times" w:hAnsi="Times"/>
          <w:sz w:val="24"/>
          <w:vertAlign w:val="subscript"/>
        </w:rPr>
      </w:pPr>
      <w:r w:rsidRPr="00162C71">
        <w:rPr>
          <w:rFonts w:ascii="Times" w:hAnsi="Times"/>
          <w:sz w:val="24"/>
        </w:rPr>
        <w:t>Forty-eight proteins were differentially expressed in response to all treatments and these represent the general proteomic stress response.  These proteins are associated with a wide range of biological processes, including carbohydrate metabolism (malectin and α-L-fucosidase), cell adhesion (neurexin-4 and cadherin-23), cytoskeleton processes (talin-1, dynein heavy chain 3, and coactosin), mRNA processing (small nuclear ribonucleoproteins and serine/arginine-rich splicing factor 6), the immune response (allograft inflammatory factor 1), polypeptide and protein degradation (aspartyl aminopeptidase, ubiquitin carboxyl-terminal hydrolase FAF-X, and insulin-degrading enzyme), the stress response (Hsp90 co-chaperone Cdc37, universal stress proteins MSMEG_3950 and A-like), and transcription and translation (nucleolar protein 56, 60S ribosomal proteins L21 and L38, and nucleosome assembly protein 1-like 1).</w:t>
      </w:r>
    </w:p>
    <w:p w14:paraId="1187189E" w14:textId="77777777" w:rsidR="00C02D9B" w:rsidRDefault="00C02D9B" w:rsidP="00C02D9B">
      <w:pPr>
        <w:pStyle w:val="Heading2"/>
      </w:pPr>
      <w:bookmarkStart w:id="76" w:name="_Toc257278820"/>
      <w:r>
        <w:t>Discussion</w:t>
      </w:r>
      <w:bookmarkEnd w:id="76"/>
    </w:p>
    <w:p w14:paraId="54714493" w14:textId="77777777" w:rsidR="00C85C10" w:rsidRPr="00C85C10" w:rsidRDefault="00C85C10" w:rsidP="00C85C10"/>
    <w:p w14:paraId="46C79723" w14:textId="77777777" w:rsidR="00162C71"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Ocean acidification is an on-going and global scale phenomenon that has been shown to negatively impact most taxonomic groups.  A large number of studies have characterized these negative impacts across species and life stages </w:t>
      </w:r>
      <w:r w:rsidRPr="00162C71">
        <w:rPr>
          <w:rFonts w:ascii="Times" w:hAnsi="Times"/>
          <w:sz w:val="24"/>
        </w:rPr>
        <w:fldChar w:fldCharType="begin" w:fldLock="1"/>
      </w:r>
      <w:r w:rsidRPr="00162C71">
        <w:rPr>
          <w:rFonts w:ascii="Times" w:hAnsi="Times"/>
          <w:sz w:val="24"/>
        </w:rPr>
        <w:instrText>ADDIN CSL_CITATION { "citationItems" : [ { "id" : "ITEM-1", "itemData" : { "DOI" : "10.1111/j.1461-0248.2010.01518.x", "ISSN" : "1461-0248", "PMID" : "20958904", "abstract" : "Ocean acidification is a pervasive stressor that could affect many marine organisms and cause profound ecological shifts. A variety of biological responses to ocean acidification have been measured across a range of taxa, but this information exists as case studies and has not been synthesized into meaningful comparisons amongst response variables and functional groups. We used meta-analytic techniques to explore the biological responses to ocean acidification, and found negative effects on survival, calcification, growth and reproduction. However, there was significant variation in the sensitivity of marine organisms. Calcifying organisms generally exhibited larger negative responses than non-calcifying organisms across numerous response variables, with the exception of crustaceans, which calcify but were not negatively affected. Calcification responses varied significantly amongst organisms using different mineral forms of calcium carbonate. Organisms using one of the more soluble forms of calcium carbonate (high-magnesium calcite) can be more resilient to ocean acidification than less soluble forms (calcite and aragonite). Additionally, there was variation in the sensitivities of different developmental stages, but this variation was dependent on the taxonomic group. Our analyses suggest that the biological effects of ocean acidification are generally large and negative, but the variation in sensitivity amongst organisms has important implications for ecosystem responses.", "author" : [ { "dropping-particle" : "", "family" : "Kroeker", "given" : "Kristy J", "non-dropping-particle" : "", "parse-names" : false, "suffix" : "" }, { "dropping-particle" : "", "family" : "Kordas", "given" : "Rebecca L", "non-dropping-particle" : "", "parse-names" : false, "suffix" : "" }, { "dropping-particle" : "", "family" : "Crim", "given" : "Ryan N", "non-dropping-particle" : "", "parse-names" : false, "suffix" : "" }, { "dropping-particle" : "", "family" : "Singh", "given" : "Gerald G", "non-dropping-particle" : "", "parse-names" : false, "suffix" : "" } ], "container-title" : "Ecology letters", "id" : "ITEM-1", "issue" : "11", "issued" : { "date-parts" : [ [ "2010", "11" ] ] }, "page" : "1419-34", "title" : "Meta-analysis reveals negative yet variable effects of ocean acidification on marine organisms.", "type" : "article-journal", "volume" : "13" }, "uris" : [ "http://www.mendeley.com/documents/?uuid=839656ee-b604-4174-b181-254d7f04546e" ] }, { "id" : "ITEM-2", "itemData" : { "DOI" : "10.1111/gcb.12179", "ISSN" : "1354-1013", "PMID" : "23505245", "abstract" : "Ocean acidification represents a threat to marine species worldwide, and forecasting the ecological impacts of acidification is a high priority for science, management, and policy. As research on the topic expands at an exponential rate, a comprehensive understanding of the variability in organisms' responses and corresponding levels of certainty is necessary to forecast the ecological effects. Here, we perform the most comprehensive meta-analysis to date by synthesizing the results of 228 studies examining biological responses to ocean acidification. The results reveal decreased survival, calcification, growth, development and abundance in response to acidification when the broad range of marine organisms is pooled together. However, the magnitude of these responses varies among taxonomic groups, suggesting there is some predictable trait-based variation in sensitivity, despite the investigation of approximately 100 new species in recent research. The results also reveal an enhanced sensitivity of mollusk larvae, but suggest that an enhanced sensitivity of early life history stages is not universal across all taxonomic groups. In addition, the variability in species' responses is enhanced when they are exposed to acidification in multi-species assemblages, suggesting that it is important to consider indirect effects and exercise caution when forecasting abundance patterns from single-species laboratory experiments. Furthermore, the results suggest that other factors, such as nutritional status or source population, could cause substantial variation in organisms' responses. Last, the results highlight a trend towards enhanced sensitivity to acidification when taxa are concurrently exposed to elevated seawater temperature.", "author" : [ { "dropping-particle" : "", "family" : "Kroeker", "given" : "Kristy J", "non-dropping-particle" : "", "parse-names" : false, "suffix" : "" }, { "dropping-particle" : "", "family" : "Kordas", "given" : "Rebecca L", "non-dropping-particle" : "", "parse-names" : false, "suffix" : "" }, { "dropping-particle" : "", "family" : "Crim", "given" : "Ryan", "non-dropping-particle" : "", "parse-names" : false, "suffix" : "" }, { "dropping-particle" : "", "family" : "Hendriks", "given" : "Iris E", "non-dropping-particle" : "", "parse-names" : false, "suffix" : "" }, { "dropping-particle" : "", "family" : "Ramajo", "given" : "Laura", "non-dropping-particle" : "", "parse-names" : false, "suffix" : "" }, { "dropping-particle" : "", "family" : "Singh", "given" : "Gerald S", "non-dropping-particle" : "", "parse-names" : false, "suffix" : "" }, { "dropping-particle" : "", "family" : "Duarte", "given" : "Carlos M", "non-dropping-particle" : "", "parse-names" : false, "suffix" : "" }, { "dropping-particle" : "", "family" : "Gattuso", "given" : "Jean-Pierre", "non-dropping-particle" : "", "parse-names" : false, "suffix" : "" } ], "container-title" : "Global change biology", "id" : "ITEM-2", "issue" : "6", "issued" : { "date-parts" : [ [ "2013", "6" ] ] }, "page" : "1884-96", "title" : "Impacts of ocean acidification on marine organisms: quantifying sensitivities and interaction with warming.", "type" : "article-journal", "volume" : "19" }, "uris" : [ "http://www.mendeley.com/documents/?uuid=9d0d6a8a-4e2f-4306-a797-abf3d51cb6e6" ] } ], "mendeley" : { "manualFormatting" : "(e.g. Kroeker et al., 2013; Kroeker et al., 2010)", "previouslyFormattedCitation" : "(Kroeker et al., 2013; Kroeker, Kordas, Crim, &amp; Singh, 2010)"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(e.g. Kroeker et al., 2013; Kroeker et al., 2010)</w:t>
      </w:r>
      <w:r w:rsidRPr="00162C71">
        <w:rPr>
          <w:rFonts w:ascii="Times" w:hAnsi="Times"/>
          <w:sz w:val="24"/>
        </w:rPr>
        <w:fldChar w:fldCharType="end"/>
      </w:r>
      <w:r w:rsidRPr="00162C71">
        <w:rPr>
          <w:rFonts w:ascii="Times" w:hAnsi="Times"/>
          <w:sz w:val="24"/>
        </w:rPr>
        <w:t xml:space="preserve">.  With the goal of achieving a better understanding of the effects of ocean acidification and responses to additional acute stressors across multiple physiological processes, we employed an integrative approach, combining analyses of shell micromechanical properties, fatty acids, glycogen concentration, and proteomics.  Our findings illustrate the value of using complementary approaches to explore interactions and trade-offs among different fundamental processes during environmental stress. </w:t>
      </w:r>
    </w:p>
    <w:p w14:paraId="71FE065C" w14:textId="77777777" w:rsidR="00162C71" w:rsidRPr="00162C71" w:rsidRDefault="00162C71" w:rsidP="00162C71">
      <w:pPr>
        <w:pStyle w:val="normal0"/>
        <w:spacing w:line="360" w:lineRule="auto"/>
        <w:rPr>
          <w:rFonts w:ascii="Times" w:hAnsi="Times"/>
          <w:sz w:val="24"/>
        </w:rPr>
      </w:pPr>
    </w:p>
    <w:p w14:paraId="3946DFCC" w14:textId="77777777" w:rsidR="00162C71" w:rsidRPr="00162C71" w:rsidRDefault="00162C71" w:rsidP="00162C71">
      <w:pPr>
        <w:pStyle w:val="normal0"/>
        <w:spacing w:line="360" w:lineRule="auto"/>
        <w:rPr>
          <w:rFonts w:ascii="Times" w:hAnsi="Times"/>
          <w:sz w:val="24"/>
        </w:rPr>
      </w:pPr>
      <w:r w:rsidRPr="00162C71">
        <w:rPr>
          <w:rFonts w:ascii="Times" w:hAnsi="Times"/>
          <w:sz w:val="24"/>
        </w:rPr>
        <w:t xml:space="preserve"> </w:t>
      </w:r>
      <w:r w:rsidRPr="00162C71">
        <w:rPr>
          <w:rFonts w:ascii="Times" w:hAnsi="Times"/>
          <w:sz w:val="24"/>
        </w:rPr>
        <w:tab/>
        <w:t xml:space="preserve">Relative shell growth was not impacted by exposure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(800, 1000 and 2800 µatm) for one month. The lack of significant difference in growth among treatments is somewhat surprising, especially considering that calcite, the main component of adult oyster shells, was undersaturated in the 2800 µatm treatment.  Over longer exposures to ocean acidification, other bivalve species have demonstrated decreased shell growth as compared to individuals held at ambient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After six weeks, mussel (</w:t>
      </w:r>
      <w:r w:rsidRPr="00162C71">
        <w:rPr>
          <w:rFonts w:ascii="Times" w:hAnsi="Times"/>
          <w:i/>
          <w:sz w:val="24"/>
        </w:rPr>
        <w:t>Mytilus edulis</w:t>
      </w:r>
      <w:r w:rsidRPr="00162C71">
        <w:rPr>
          <w:rFonts w:ascii="Times" w:hAnsi="Times"/>
          <w:sz w:val="24"/>
        </w:rPr>
        <w:t xml:space="preserve">) shell length growth was negatively impacted by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of 2400 and 4000 µatm </w:t>
      </w:r>
      <w:r w:rsidRPr="00162C71">
        <w:rPr>
          <w:rFonts w:ascii="Times" w:hAnsi="Times"/>
          <w:sz w:val="24"/>
        </w:rPr>
        <w:fldChar w:fldCharType="begin" w:fldLock="1"/>
      </w:r>
      <w:r w:rsidRPr="00162C71">
        <w:rPr>
          <w:rFonts w:ascii="Times" w:hAnsi="Times"/>
          <w:sz w:val="24"/>
        </w:rPr>
        <w:instrText>ADDIN CSL_CITATION { "citationItems" : [ { "id" : "ITEM-1",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"ITEM-1",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"mendeley" : { "manualFormatting" : "(Melzner et al., 2011)", "previouslyFormattedCitation" : "(Frank Melzner et al., 2011)"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(Melzner et al., 2011)</w:t>
      </w:r>
      <w:r w:rsidRPr="00162C71">
        <w:rPr>
          <w:rFonts w:ascii="Times" w:hAnsi="Times"/>
          <w:sz w:val="24"/>
        </w:rPr>
        <w:fldChar w:fldCharType="end"/>
      </w:r>
      <w:r w:rsidRPr="00162C71">
        <w:rPr>
          <w:rFonts w:ascii="Times" w:hAnsi="Times"/>
          <w:sz w:val="24"/>
        </w:rPr>
        <w:t xml:space="preserve">.  Juvenile oysters, </w:t>
      </w:r>
      <w:r w:rsidRPr="00162C71">
        <w:rPr>
          <w:rFonts w:ascii="Times" w:hAnsi="Times"/>
          <w:i/>
          <w:sz w:val="24"/>
        </w:rPr>
        <w:t>Crassostrea virginica</w:t>
      </w:r>
      <w:r w:rsidRPr="00162C71">
        <w:rPr>
          <w:rFonts w:ascii="Times" w:hAnsi="Times"/>
          <w:sz w:val="24"/>
        </w:rPr>
        <w:t xml:space="preserve">, also had relatively lower shell mass after 45 days at 1 665 µatm </w:t>
      </w:r>
      <w:r w:rsidRPr="00162C71">
        <w:rPr>
          <w:rFonts w:ascii="Times" w:hAnsi="Times"/>
          <w:sz w:val="24"/>
        </w:rPr>
        <w:fldChar w:fldCharType="begin" w:fldLock="1"/>
      </w:r>
      <w:r w:rsidRPr="00162C71">
        <w:rPr>
          <w:rFonts w:ascii="Times" w:hAnsi="Times"/>
          <w:sz w:val="24"/>
        </w:rPr>
        <w:instrText>ADDIN CSL_CITATION { "citationItems" : [ { "id" : "ITEM-1", "itemData" : { "DOI" : "10.1371/journal.pone.0026941", "ISSN" : "1932-6203", "PMID" : "22066018", "abstract" : "Rising CO(2) concentrations and water temperatures this century are likely to have transformative effects on many coastal marine organisms. Here, we compared the responses of two life history stages (larval, juvenile) of three species of calcifying bivalves (Mercenaria mercenaria, Crassostrea virginica, and Argopecten irradians) to temperatures (24 and 28\u00b0C) and CO(2) concentrations (\u223c250, 390, and 750 ppm) representative of past, present, and future summer conditions in temperate estuaries. Results demonstrated that increases in temperature and CO(2) each significantly depressed survival, development, growth, and lipid synthesis of M. mercenaria and A. irradians larvae and that the effects were additive. Juvenile M. mercenaria and A. irradians were negatively impacted by higher temperatures while C. virginica juveniles were not. C. virginica and A. irradians juveniles were negatively affected by higher CO(2) concentrations, while M. mercenaria was not. Larvae were substantially more vulnerable to elevated CO(2) than juvenile stages. These findings suggest that current and future increases in temperature and CO(2) are likely to have negative consequences for coastal bivalve populations.", "author" : [ { "dropping-particle" : "", "family" : "Talmage", "given" : "Stephanie C", "non-dropping-particle" : "", "parse-names" : false, "suffix" : "" }, { "dropping-particle" : "", "family" : "Gobler", "given" : "Christopher J", "non-dropping-particle" : "", "parse-names" : false, "suffix" : "" } ], "container-title" : "PloS one", "id" : "ITEM-1", "issue" : "10", "issued" : { "date-parts" : [ [ "2011", "1" ] ] }, "page" : "e26941", "title" : "Effects of elevated temperature and carbon dioxide on the growth and survival of larvae and juveniles of three species of northwest Atlantic bivalves.", "type" : "article-journal", "volume" : "6" }, "uris" : [ "http://www.mendeley.com/documents/?uuid=d7e45f6d-2797-40e3-a712-308f1d508c6a" ] } ], "mendeley" : { "manualFormatting" : "(Talmage and Gobler, 2011)", "previouslyFormattedCitation" : "(Talmage &amp; Gobler, 2011)"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(Talmage and Gobler, 2011)</w:t>
      </w:r>
      <w:r w:rsidRPr="00162C71">
        <w:rPr>
          <w:rFonts w:ascii="Times" w:hAnsi="Times"/>
          <w:sz w:val="24"/>
        </w:rPr>
        <w:fldChar w:fldCharType="end"/>
      </w:r>
      <w:r w:rsidRPr="00162C71">
        <w:rPr>
          <w:rFonts w:ascii="Times" w:hAnsi="Times"/>
          <w:sz w:val="24"/>
        </w:rPr>
        <w:t xml:space="preserve"> and after a 20 week exposure at 3 523 µatm  </w:t>
      </w:r>
      <w:r w:rsidRPr="00162C71">
        <w:rPr>
          <w:rFonts w:ascii="Times" w:hAnsi="Times"/>
          <w:sz w:val="24"/>
        </w:rPr>
        <w:fldChar w:fldCharType="begin" w:fldLock="1"/>
      </w:r>
      <w:r w:rsidRPr="00162C71">
        <w:rPr>
          <w:rFonts w:ascii="Times" w:hAnsi="Times"/>
          <w:sz w:val="24"/>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"mendeley" : { "manualFormatting" : "(Beniash et al., 2010)", "previouslyFormattedCitation" : "(Beniash, Ivanina, Lieb, Kurochkin, &amp; Sokolova, 2010)"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(Beniash et al., 2010)</w:t>
      </w:r>
      <w:r w:rsidRPr="00162C71">
        <w:rPr>
          <w:rFonts w:ascii="Times" w:hAnsi="Times"/>
          <w:sz w:val="24"/>
        </w:rPr>
        <w:fldChar w:fldCharType="end"/>
      </w:r>
      <w:r w:rsidRPr="00162C71">
        <w:rPr>
          <w:rFonts w:ascii="Times" w:hAnsi="Times"/>
          <w:sz w:val="24"/>
        </w:rPr>
        <w:t xml:space="preserve">.  Based on these data we might expect to see differences in shell growth if exposure was continued for a longer period of time.  In addition to the duration of exposure, level of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may also be an important factor in effects observed on shell growth.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may in fact prompt an over-compensation in terms of shell deposition. For instance, hard shell clams, </w:t>
      </w:r>
      <w:r w:rsidRPr="00162C71">
        <w:rPr>
          <w:rFonts w:ascii="Times" w:hAnsi="Times"/>
          <w:i/>
          <w:sz w:val="24"/>
        </w:rPr>
        <w:t>Mercenaria mercenaria</w:t>
      </w:r>
      <w:r w:rsidRPr="00162C71">
        <w:rPr>
          <w:rFonts w:ascii="Times" w:hAnsi="Times"/>
          <w:sz w:val="24"/>
        </w:rPr>
        <w:t xml:space="preserve">, had higher shell mass at moderately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(about 800 µatm) after 16 and 21 weeks of exposure, but no significant difference in shell mass between the control treatment and highly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(about 1500 µatm) was observed </w:t>
      </w:r>
      <w:r w:rsidRPr="00162C71">
        <w:rPr>
          <w:rFonts w:ascii="Times" w:hAnsi="Times"/>
          <w:sz w:val="24"/>
        </w:rPr>
        <w:fldChar w:fldCharType="begin" w:fldLock="1"/>
      </w:r>
      <w:r w:rsidRPr="00162C71">
        <w:rPr>
          <w:rFonts w:ascii="Times" w:hAnsi="Times"/>
          <w:sz w:val="24"/>
        </w:rPr>
        <w:instrText>ADDIN CSL_CITATION { "citationItems" : [ { "id" : "ITEM-1",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"ITEM-1",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"manualFormatting" : "(Dickinson et al., 2013)", "previouslyFormattedCitation" : "(Dickinson et al., 2013)"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(Dickinson et al., 2013)</w:t>
      </w:r>
      <w:r w:rsidRPr="00162C71">
        <w:rPr>
          <w:rFonts w:ascii="Times" w:hAnsi="Times"/>
          <w:sz w:val="24"/>
        </w:rPr>
        <w:fldChar w:fldCharType="end"/>
      </w:r>
      <w:r w:rsidRPr="00162C71">
        <w:rPr>
          <w:rFonts w:ascii="Times" w:hAnsi="Times"/>
          <w:sz w:val="24"/>
        </w:rPr>
        <w:t xml:space="preserve">.  At least some of the variability in the effects of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on shell growth is likely due to intra- and interspecies differences in population history of exposure to low pH events.  </w:t>
      </w:r>
    </w:p>
    <w:p w14:paraId="6F046FFF" w14:textId="77777777" w:rsidR="00162C71" w:rsidRPr="00162C71" w:rsidRDefault="00162C71" w:rsidP="00162C71">
      <w:pPr>
        <w:pStyle w:val="normal0"/>
        <w:spacing w:line="360" w:lineRule="auto"/>
        <w:rPr>
          <w:rFonts w:ascii="Times" w:hAnsi="Times"/>
          <w:sz w:val="24"/>
        </w:rPr>
      </w:pPr>
    </w:p>
    <w:p w14:paraId="18497024" w14:textId="77777777" w:rsidR="00162C71"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Given that shell growth persisted in all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treatments, we were able to perform mechanical testing on new shell that was deposited. Shell microhardness and fracture toughness were both affected by exposure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Microhardness, a measure of a material’s resistance to deformation, was reduced at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(1000 µatm) as compared to the control (400 µatm), whereas fracture toughness, a measure of the propensity for cracks to propagate within a material, was reduced only at 2800 µatm.  Both </w:t>
      </w:r>
      <w:bookmarkStart w:id="77" w:name="OLE_LINK21"/>
      <w:bookmarkStart w:id="78" w:name="OLE_LINK22"/>
      <w:r w:rsidRPr="00162C71">
        <w:rPr>
          <w:rFonts w:ascii="Times" w:hAnsi="Times"/>
          <w:sz w:val="24"/>
        </w:rPr>
        <w:t>measurements are affected by the arrangement and dimensions of the microstructures that comprise the shell</w:t>
      </w:r>
      <w:bookmarkEnd w:id="77"/>
      <w:bookmarkEnd w:id="78"/>
      <w:r w:rsidRPr="00162C71">
        <w:rPr>
          <w:rFonts w:ascii="Times" w:hAnsi="Times"/>
          <w:sz w:val="24"/>
        </w:rPr>
        <w:t xml:space="preserve"> and the extent and distribution of elastic elements within the shell (i.e. the shell organic matrix) </w:t>
      </w:r>
      <w:r w:rsidRPr="00162C71">
        <w:rPr>
          <w:rFonts w:ascii="Times" w:hAnsi="Times"/>
          <w:sz w:val="24"/>
        </w:rPr>
        <w:fldChar w:fldCharType="begin" w:fldLock="1"/>
      </w:r>
      <w:r w:rsidRPr="00162C71">
        <w:rPr>
          <w:rFonts w:ascii="Times" w:hAnsi="Times"/>
          <w:sz w:val="24"/>
        </w:rPr>
        <w:instrText>ADDIN CSL_CITATION { "citationItems" : [ { "id" : "ITEM-1", "itemData" : { "DOI" : "10.1016/j.msec.2007.01.001", "ISSN" : "09284931", "author" : [ { "dropping-particle" : "", "family" : "Lee", "given" : "Seung Woo", "non-dropping-particle" : "", "parse-names" : false, "suffix" : "" }, { "dropping-particle" : "", "family" : "Kim", "given" : "Gyeung Ho", "non-dropping-particle" : "", "parse-names" : false, "suffix" : "" }, { "dropping-particle" : "", "family" : "Choi", "given" : "Cheong Song", "non-dropping-particle" : "", "parse-names" : false, "suffix" : "" } ], "container-title" : "Materials Science and Engineering: C", "id" : "ITEM-1", "issue" : "2", "issued" : { "date-parts" : [ [ "2008", "3" ] ] }, "page" : "258-263", "title" : "Characteristic crystal orientation of folia in oyster shell, Crassostrea gigas", "type" : "article-journal", "volume" : "28" }, "uris" : [ "http://www.mendeley.com/documents/?uuid=2f8d2624-086e-4102-8ef5-44023e80740d" ] } ], "mendeley" : { "manualFormatting" : "(Lee et al., 2008)", "previouslyFormattedCitation" : "(Lee, Kim, &amp; Choi, 2008)"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(Lee et al., 2008)</w:t>
      </w:r>
      <w:r w:rsidRPr="00162C71">
        <w:rPr>
          <w:rFonts w:ascii="Times" w:hAnsi="Times"/>
          <w:sz w:val="24"/>
        </w:rPr>
        <w:fldChar w:fldCharType="end"/>
      </w:r>
      <w:r w:rsidRPr="00162C71">
        <w:rPr>
          <w:rFonts w:ascii="Times" w:hAnsi="Times"/>
          <w:sz w:val="24"/>
        </w:rPr>
        <w:t xml:space="preserve">. Hence, exposure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may lead to dose-dependent differences in the structure and/or composition of newly formed shell. Such changes could result either from alterations in the physiology of shell deposition or an inability to prevent dissolution and erosion of individual microstructures under varying seawater hydrochemistry. In the current study, changes to micromechanical properties were detected at both Ω</w:t>
      </w:r>
      <w:r w:rsidRPr="00162C71">
        <w:rPr>
          <w:rFonts w:ascii="Times" w:hAnsi="Times"/>
          <w:sz w:val="24"/>
          <w:vertAlign w:val="subscript"/>
        </w:rPr>
        <w:t xml:space="preserve">calcite </w:t>
      </w:r>
      <w:r w:rsidRPr="00162C71">
        <w:rPr>
          <w:rFonts w:ascii="Times" w:hAnsi="Times"/>
          <w:sz w:val="24"/>
        </w:rPr>
        <w:t>(Ω</w:t>
      </w:r>
      <w:r w:rsidRPr="00162C71">
        <w:rPr>
          <w:rFonts w:ascii="Times" w:hAnsi="Times"/>
          <w:sz w:val="24"/>
          <w:vertAlign w:val="subscript"/>
        </w:rPr>
        <w:t>c</w:t>
      </w:r>
      <w:r w:rsidRPr="00162C71">
        <w:rPr>
          <w:rFonts w:ascii="Times" w:hAnsi="Times"/>
          <w:sz w:val="24"/>
        </w:rPr>
        <w:t>) = 0.5 (2800 µatm) and at Ω</w:t>
      </w:r>
      <w:r w:rsidRPr="00162C71">
        <w:rPr>
          <w:rFonts w:ascii="Times" w:hAnsi="Times"/>
          <w:sz w:val="24"/>
          <w:vertAlign w:val="subscript"/>
        </w:rPr>
        <w:t>c</w:t>
      </w:r>
      <w:r w:rsidRPr="00162C71">
        <w:rPr>
          <w:rFonts w:ascii="Times" w:hAnsi="Times"/>
          <w:sz w:val="24"/>
        </w:rPr>
        <w:t xml:space="preserve"> = 1.3 (1000 µatm).  Alterations in shell growth and structure would be expected at Ω</w:t>
      </w:r>
      <w:r w:rsidRPr="00162C71">
        <w:rPr>
          <w:rFonts w:ascii="Times" w:hAnsi="Times"/>
          <w:sz w:val="24"/>
          <w:vertAlign w:val="subscript"/>
        </w:rPr>
        <w:t>c</w:t>
      </w:r>
      <w:r w:rsidRPr="00162C71">
        <w:rPr>
          <w:rFonts w:ascii="Times" w:hAnsi="Times"/>
          <w:sz w:val="24"/>
        </w:rPr>
        <w:t xml:space="preserve"> &lt; 1, however, there is increasing evidence that shell modifications also occur at Ω</w:t>
      </w:r>
      <w:r w:rsidRPr="00162C71">
        <w:rPr>
          <w:rFonts w:ascii="Times" w:hAnsi="Times"/>
          <w:sz w:val="24"/>
          <w:vertAlign w:val="subscript"/>
        </w:rPr>
        <w:t>c</w:t>
      </w:r>
      <w:r w:rsidRPr="00162C71">
        <w:rPr>
          <w:rFonts w:ascii="Times" w:hAnsi="Times"/>
          <w:sz w:val="24"/>
        </w:rPr>
        <w:t xml:space="preserve"> &gt; 1.  Even when seawater is saturated with respect to calcite, bivalves experience both shell dissolution </w:t>
      </w:r>
      <w:r w:rsidRPr="00162C71">
        <w:rPr>
          <w:rFonts w:ascii="Times" w:hAnsi="Times"/>
          <w:sz w:val="24"/>
        </w:rPr>
        <w:fldChar w:fldCharType="begin" w:fldLock="1"/>
      </w:r>
      <w:r w:rsidRPr="00162C71">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"previouslyFormattedCitation" : "(Dickinson et al., 2013; Lannig et al., 2010)"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(Dickinson et al., 2013; Lannig et al., 2010)</w:t>
      </w:r>
      <w:r w:rsidRPr="00162C71">
        <w:rPr>
          <w:rFonts w:ascii="Times" w:hAnsi="Times"/>
          <w:sz w:val="24"/>
        </w:rPr>
        <w:fldChar w:fldCharType="end"/>
      </w:r>
      <w:r w:rsidRPr="00162C71">
        <w:rPr>
          <w:rFonts w:ascii="Times" w:hAnsi="Times"/>
          <w:sz w:val="24"/>
        </w:rPr>
        <w:t xml:space="preserve"> and changes to shell microstructure </w:t>
      </w:r>
      <w:r w:rsidRPr="00162C71">
        <w:rPr>
          <w:rFonts w:ascii="Times" w:hAnsi="Times"/>
          <w:sz w:val="24"/>
        </w:rPr>
        <w:fldChar w:fldCharType="begin" w:fldLock="1"/>
      </w:r>
      <w:r w:rsidRPr="00162C71">
        <w:rPr>
          <w:rFonts w:ascii="Times" w:hAnsi="Times"/>
          <w:sz w:val="24"/>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"id" : "ITEM-3", "itemData" : { "author" : [ { "dropping-particle" : "", "family" : "Welladsen", "given" : "Heather M", "non-dropping-particle" : "", "parse-names" : false, "suffix" : "" }, { "dropping-particle" : "", "family" : "Southgate", "given" : "Paul C", "non-dropping-particle" : "", "parse-names" : false, "suffix" : "" }, { "dropping-particle" : "", "family" : "Heimann", "given" : "Kirsten", "non-dropping-particle" : "", "parse-names" : false, "suffix" : "" } ], "container-title" : "Molluscan Research", "id" : "ITEM-3", "issue" : "3", "issued" : { "date-parts" : [ [ "2010" ] ] }, "page" : "125-130", "title" : "The effects of exposure to near-future levels of ocean acidification on shell characteristics of Pinctada fucata ( Bivalvia : Pteriidae )", "type" : "article-journal", "volume" : "30" }, "uris" : [ "http://www.mendeley.com/documents/?uuid=df3e1164-dd90-46c5-aba5-4fcaa1bd5725" ] } ], "mendeley" : { "manualFormatting" : "(Beniash et al., 2010; Dickinson et al., 2013; Welladsen et al., 2010)", "previouslyFormattedCitation" : "(Beniash et al., 2010; Dickinson et al., 2013; Welladsen, Southgate, &amp; Heimann, 2010)"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(Beniash et al., 2010; Dickinson et al., 2013; Welladsen et al., 2010)</w:t>
      </w:r>
      <w:r w:rsidRPr="00162C71">
        <w:rPr>
          <w:rFonts w:ascii="Times" w:hAnsi="Times"/>
          <w:sz w:val="24"/>
        </w:rPr>
        <w:fldChar w:fldCharType="end"/>
      </w:r>
      <w:r w:rsidRPr="00162C71">
        <w:rPr>
          <w:rFonts w:ascii="Times" w:hAnsi="Times"/>
          <w:sz w:val="24"/>
        </w:rPr>
        <w:t>.  These results indicate that as Ω</w:t>
      </w:r>
      <w:r w:rsidRPr="00162C71">
        <w:rPr>
          <w:rFonts w:ascii="Times" w:hAnsi="Times"/>
          <w:sz w:val="24"/>
          <w:vertAlign w:val="subscript"/>
        </w:rPr>
        <w:t xml:space="preserve"> </w:t>
      </w:r>
      <w:r w:rsidRPr="00162C71">
        <w:rPr>
          <w:rFonts w:ascii="Times" w:hAnsi="Times"/>
          <w:sz w:val="24"/>
        </w:rPr>
        <w:t xml:space="preserve">decreases the driving force towards biomineralization is reduced.  Source population evolutionary history may also affect sensitivity to changes in Ω.  Since calcification is an energetically intensive process </w:t>
      </w:r>
      <w:r w:rsidRPr="00162C71">
        <w:rPr>
          <w:rFonts w:ascii="Times" w:hAnsi="Times"/>
          <w:sz w:val="24"/>
        </w:rPr>
        <w:fldChar w:fldCharType="begin" w:fldLock="1"/>
      </w:r>
      <w:r w:rsidRPr="00162C71">
        <w:rPr>
          <w:rFonts w:ascii="Times" w:hAnsi="Times"/>
          <w:sz w:val="24"/>
        </w:rPr>
        <w:instrText>ADDIN CSL_CITATION { "citationItems" : [ { "id" : "ITEM-1", "itemData" : { "author" : [ { "dropping-particle" : "", "family" : "Paine", "given" : "Robert T.", "non-dropping-particle" : "", "parse-names" : false, "suffix" : "" } ], "container-title" : "Limnology and Oceanography", "id" : "ITEM-1", "issue" : "1", "issued" : { "date-parts" : [ [ "1971" ] ] }, "page" : "86-98", "title" : "Energy flow in a natural population of the herbivorous gastropod Tegula funebralis", "type" : "article-journal", "volume" : "16" }, "uris" : [ "http://www.mendeley.com/documents/?uuid=56e966a0-2fe2-4e38-89fd-584865661eb3" ] }, { "id" : "ITEM-2", "itemData" : { "ISSN" : "0027-8424", "PMID" : "11607278", "abstract" : "Although crucial to our understanding of skeletal evolution in marine invertebrates, the cost of calcification has remained elusive for a simple reason: CaCO3 is an inorganic material. Its cost thus derives solely from the metabolic expenses of accumulating, transporting, and precipitating CaCO3 and cannot normally be separated from other metabolic costs. Traditionally, calcification cost has been ignored and total shell cost has been assumed to derive solely from skeletal organic matrix. The cost estimated here was permitted by the substantial natural variation in shell thickness in two rocky-shore gastropods (Nucella lamellosa and Nucella lapillus). In both the field and laboratory, data from three separate experiments revealed that groups of snails producing extra shell material under a particular set of experimental conditions also consumed extra food. The cost of calcification was estimated by computing the extra energy assimilated per unit extra shell produced at a common rate of tissue growth and then subtracting the cost of the organic matrix. At 1-2 J/mg of CaCO3, the calcification cost reported here is roughly 5% of that for the predominantly proteinaceous organic fraction of molluscan shells on a per-gram basis. This may explain why calcareous microstructures high in organic content have become less common evolutionarily.", "author" : [ { "dropping-particle" : "", "family" : "Palmer", "given" : "A.R.", "non-dropping-particle" : "", "parse-names" : false, "suffix" : "" } ], "container-title" : "Proceedings of the National Academy of Sciences of the United States of America", "id" : "ITEM-2", "issue" : "4", "issued" : { "date-parts" : [ [ "1992", "2", "15" ] ] }, "page" : "1379-82", "title" : "Calcification in marine molluscs: how costly is it?", "type" : "article-journal", "volume" : "89" }, "uris" : [ "http://www.mendeley.com/documents/?uuid=bb284591-73b8-4d81-a0ca-c35c1c87c86c" ] }, { "id" : "ITEM-3", "itemData" : { "author" : [ { "dropping-particle" : "", "family" : "Rosenberg", "given" : "Gary D.", "non-dropping-particle" : "", "parse-names" : false, "suffix" : "" }, { "dropping-particle" : "", "family" : "Hughes", "given" : "W. William", "non-dropping-particle" : "", "parse-names" : false, "suffix" : "" } ], "container-title" : "Lethaia", "id" : "ITEM-3", "issue" : "1", "issued" : { "date-parts" : [ [ "1991" ] ] }, "page" : "83-96", "title" : "A metabolic model for the determination of shell composition in the bivalve mollusc, Mytilus edulis", "type" : "article-journal", "volume" : "24" }, "uris" : [ "http://www.mendeley.com/documents/?uuid=78aedba5-4301-435b-a1c8-0ffb314d0376" ] } ], "mendeley" : { "previouslyFormattedCitation" : "(Paine, 1971; Palmer, 1992; Rosenberg &amp; Hughes, 1991)"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(Paine, 1971; Palmer, 1992; Rosenberg &amp; Hughes, 1991)</w:t>
      </w:r>
      <w:r w:rsidRPr="00162C71">
        <w:rPr>
          <w:rFonts w:ascii="Times" w:hAnsi="Times"/>
          <w:sz w:val="24"/>
        </w:rPr>
        <w:fldChar w:fldCharType="end"/>
      </w:r>
      <w:r w:rsidRPr="00162C71">
        <w:rPr>
          <w:rFonts w:ascii="Times" w:hAnsi="Times"/>
          <w:sz w:val="24"/>
        </w:rPr>
        <w:t>, one explanation for significant effects on CaCO</w:t>
      </w:r>
      <w:r w:rsidRPr="00162C71">
        <w:rPr>
          <w:rFonts w:ascii="Times" w:hAnsi="Times"/>
          <w:sz w:val="24"/>
          <w:vertAlign w:val="subscript"/>
        </w:rPr>
        <w:t>3</w:t>
      </w:r>
      <w:r w:rsidRPr="00162C71">
        <w:rPr>
          <w:rFonts w:ascii="Times" w:hAnsi="Times"/>
          <w:sz w:val="24"/>
        </w:rPr>
        <w:t xml:space="preserve"> structures at Ω</w:t>
      </w:r>
      <w:r w:rsidRPr="00162C71">
        <w:rPr>
          <w:rFonts w:ascii="Times" w:hAnsi="Times"/>
          <w:sz w:val="24"/>
          <w:vertAlign w:val="subscript"/>
        </w:rPr>
        <w:t xml:space="preserve">  </w:t>
      </w:r>
      <w:r w:rsidRPr="00162C71">
        <w:rPr>
          <w:rFonts w:ascii="Times" w:hAnsi="Times"/>
          <w:sz w:val="24"/>
        </w:rPr>
        <w:t xml:space="preserve">&gt; 1 is that resources for energy metabolism are being reallocated to other, non-calcification physiological processes in order to maintain homeostasis.  </w:t>
      </w:r>
    </w:p>
    <w:p w14:paraId="545FDB23" w14:textId="77777777" w:rsidR="00162C71" w:rsidRPr="00162C71" w:rsidRDefault="00162C71" w:rsidP="00162C71">
      <w:pPr>
        <w:pStyle w:val="normal0"/>
        <w:spacing w:line="360" w:lineRule="auto"/>
        <w:rPr>
          <w:rFonts w:ascii="Times" w:hAnsi="Times"/>
          <w:sz w:val="24"/>
        </w:rPr>
      </w:pPr>
    </w:p>
    <w:p w14:paraId="7C66A12E" w14:textId="77777777" w:rsidR="00162C71"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In order to gain insight into changes in energy metabolism that could be a result of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we examined fatty acid profiles and glycogen content.  Relative proportions of fatty acids and glycogen content in whole body tissue were similar after one month of exposure to 800 µatm or 2800 µatm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suggesting that extended stress of ocean acidification did not alter fundamental metabolites.  Oysters and other bivalves are highly dependent on fatty acids as a main energy source, especially poly-unsaturated fatty acids </w:t>
      </w:r>
      <w:r w:rsidRPr="00162C71">
        <w:rPr>
          <w:rFonts w:ascii="Times" w:hAnsi="Times"/>
          <w:sz w:val="24"/>
        </w:rPr>
        <w:fldChar w:fldCharType="begin" w:fldLock="1"/>
      </w:r>
      <w:r w:rsidRPr="00162C71">
        <w:rPr>
          <w:rFonts w:ascii="Times" w:hAnsi="Times"/>
          <w:sz w:val="24"/>
        </w:rPr>
        <w:instrText>ADDIN CSL_CITATION { "citationItems" : [ { "id" : "ITEM-1", "itemData" : { "DOI" : "10.1016/j.aquaculture.2003.11.006", "ISBN" : "1902426223", "ISSN" : "00448486", "author" : [ { "dropping-particle" : "", "family" : "Milke", "given" : "Lisa M.", "non-dropping-particle" : "", "parse-names" : false, "suffix" : "" }, { "dropping-particle" : "", "family" : "Bricelj", "given" : "V.Monica", "non-dropping-particle" : "", "parse-names" : false, "suffix" : "" }, { "dropping-particle" : "", "family" : "Parrish", "given" : "Christopher C.", "non-dropping-particle" : "", "parse-names" : false, "suffix" : "" } ], "container-title" : "Aquaculture", "id" : "ITEM-1", "issue" : "1-4", "issued" : { "date-parts" : [ [ "2004", "5" ] ] }, "page" : "293-317", "title" : "Growth of postlarval sea scallops, Placopecten magellanicus, on microalgal diets, with emphasis on the nutritional role of lipids and fatty acids", "type" : "article-journal", "volume" : "234" }, "uris" : [ "http://www.mendeley.com/documents/?uuid=bb1cd909-a677-445d-9976-93c20021e9a5" ] }, { "id" : "ITEM-2",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"ITEM-2",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"id" : "ITEM-3", "itemData" : { "DOI" : "10.1016/j.aquaculture.2010.09.024", "ISSN" : "00448486", "author" : [ { "dropping-particle" : "", "family" : "Pettersen", "given" : "Amanda K.", "non-dropping-particle" : "", "parse-names" : false, "suffix" : "" }, { "dropping-particle" : "", "family" : "Turchini", "given" : "Giovanni M.", "non-dropping-particle" : "", "parse-names" : false, "suffix" : "" }, { "dropping-particle" : "", "family" : "Jahangard", "given" : "Samad", "non-dropping-particle" : "", "parse-names" : false, "suffix" : "" }, { "dropping-particle" : "", "family" : "Ingram", "given" : "Brett a.", "non-dropping-particle" : "", "parse-names" : false, "suffix" : "" }, { "dropping-particle" : "", "family" : "Sherman", "given" : "Craig D.H.", "non-dropping-particle" : "", "parse-names" : false, "suffix" : "" } ], "container-title" : "Aquaculture", "id" : "ITEM-3", "issue" : "1-4", "issued" : { "date-parts" : [ [ "2010", "11" ] ] }, "page" : "115-124", "publisher" : "Elsevier B.V.", "title" : "Effects of different dietary microalgae on survival, growth, settlement and fatty acid composition of blue mussel (Mytilus galloprovincialis) larvae", "type" : "article-journal", "volume" : "309" }, "uris" : [ "http://www.mendeley.com/documents/?uuid=1e8d7154-3f99-48f0-89ac-1e7d1c029c7d" ] }, { "id" : "ITEM-4", "itemData" : { "ISSN" : "0022-3166", "PMID" : "7381595", "abstract" : "Hatchery reared oysters (Crassostrea virginica) were fed six different diets for 30 weeks. The diets contained cod liver oil (CLO), corn oil (CO), corn oil and cod liver oil (1:2) (CO + CLO), hyrogenated coconut oil (HCO), ethyl esters of cod liver oil fatty acids (SF) or cod liver oil ethyl esters supplemented with cholesterol (CH). Data on growth and tissue composition imply that oysters have an essential fatty acid (EFA) requirement for both linolenic or omega 3 and linoleic or omega 6 series fatty acids, with the former playing a more significant role. The feeding study supported by a 14C-acetate metabolism experiment suggests that these oysters were unable to synthesize sterols and excessively high dietary sterol (1% of the dry weight of the diet) inhibited growth.", "author" : [ { "dropping-particle" : "", "family" : "Trider", "given" : "D J", "non-dropping-particle" : "", "parse-names" : false, "suffix" : "" }, { "dropping-particle" : "", "family" : "Castell", "given" : "J D", "non-dropping-particle" : "", "parse-names" : false, "suffix" : "" } ], "container-title" : "The Journal of nutrition", "id" : "ITEM-4", "issue" : "7", "issued" : { "date-parts" : [ [ "1980", "7" ] ] }, "page" : "1303-9", "title" : "Effect of dietary lipids on growth, tissue composition and metabolism of the oyster (Crassostrea virginica).", "type" : "article-journal", "volume" : "110" }, "uris" : [ "http://www.mendeley.com/documents/?uuid=a28afec6-ad8e-49db-a9ed-29784beb49f9" ] } ], "mendeley" : { "manualFormatting" : "(Milke et al., 2004; Pettersen et al., 2010; Soudant et al., 1999; Trider and Castell, 1980)", "previouslyFormattedCitation" : "(Milke et al., 2004; Pettersen et al., 2010; Soudant et al., 1999; Trider &amp; Castell, 1980)"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(Milke et al., 2004; Pettersen et al., 2010; Soudant et al., 1999; Trider and Castell, 1980)</w:t>
      </w:r>
      <w:r w:rsidRPr="00162C71">
        <w:rPr>
          <w:rFonts w:ascii="Times" w:hAnsi="Times"/>
          <w:sz w:val="24"/>
        </w:rPr>
        <w:fldChar w:fldCharType="end"/>
      </w:r>
      <w:r w:rsidRPr="00162C71">
        <w:rPr>
          <w:rFonts w:ascii="Times" w:hAnsi="Times"/>
          <w:sz w:val="24"/>
        </w:rPr>
        <w:t xml:space="preserve">.  Changes in physiological state, such as those induced by reproduction or poor nutrient supply, can alter the relative proportions of fatty acids in oyster tissue </w:t>
      </w:r>
      <w:r w:rsidRPr="00162C71">
        <w:rPr>
          <w:rFonts w:ascii="Times" w:hAnsi="Times"/>
          <w:sz w:val="24"/>
        </w:rPr>
        <w:fldChar w:fldCharType="begin" w:fldLock="1"/>
      </w:r>
      <w:r w:rsidRPr="00162C71">
        <w:rPr>
          <w:rFonts w:ascii="Times" w:hAnsi="Times"/>
          <w:sz w:val="24"/>
        </w:rPr>
        <w:instrText>ADDIN CSL_CITATION { "citationItems" : [ { "id" : "ITEM-1", "itemData" : { "author" : [ { "dropping-particle" : "", "family" : "Both", "given" : "Adrianus", "non-dropping-particle" : "", "parse-names" : false, "suffix" : "" }, { "dropping-particle" : "", "family" : "Parrish", "given" : "Christopher C", "non-dropping-particle" : "", "parse-names" : false, "suffix" : "" }, { "dropping-particle" : "", "family" : "Penney", "given" : "Randy W", "non-dropping-particle" : "", "parse-names" : false, "suffix" : "" }, { "dropping-particle" : "", "family" : "Thompson", "given" : "Raymond J", "non-dropping-particle" : "", "parse-names" : false, "suffix" : "" } ], "id" : "ITEM-1", "issued" : { "date-parts" : [ [ "2011" ] ] }, "page" : "295-301", "title" : "Lipid composition of Mytilus edulis reared on organic waste from a Gadus morhua aquaculture facility", "type" : "article-journal", "volume" : "301" }, "uris" : [ "http://www.mendeley.com/documents/?uuid=0f65e703-8f5e-4f8a-8bfc-bc4f40cd2919" ] }, { "id" : "ITEM-2",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"ITEM-2",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"mendeley" : { "previouslyFormattedCitation" : "(Both et al., 2011; Soudant et al., 1999)"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(Both et al., 2011; Soudant et al., 1999)</w:t>
      </w:r>
      <w:r w:rsidRPr="00162C71">
        <w:rPr>
          <w:rFonts w:ascii="Times" w:hAnsi="Times"/>
          <w:sz w:val="24"/>
        </w:rPr>
        <w:fldChar w:fldCharType="end"/>
      </w:r>
      <w:r w:rsidRPr="00162C71">
        <w:rPr>
          <w:rFonts w:ascii="Times" w:hAnsi="Times"/>
          <w:sz w:val="24"/>
        </w:rPr>
        <w:t xml:space="preserve">.  Glycogen stores represent important sources of stored energy that are accumulated during the non-reproductive season and then mobilized for use as glucose during gametogenesis (Berthelin et al. 2000).  It is possible that an environmental stress can trigger a change in bivalve physiology and result in changes in lipid or carbohydrate metabolism and/or storage.  In the case of ocean acidification, </w:t>
      </w:r>
      <w:r w:rsidRPr="00162C71">
        <w:rPr>
          <w:rFonts w:ascii="Times" w:hAnsi="Times"/>
          <w:i/>
          <w:sz w:val="24"/>
        </w:rPr>
        <w:t>C. gigas</w:t>
      </w:r>
      <w:r w:rsidRPr="00162C71">
        <w:rPr>
          <w:rFonts w:ascii="Times" w:hAnsi="Times"/>
          <w:sz w:val="24"/>
        </w:rPr>
        <w:t xml:space="preserve"> is able to maintain homeostasis of both total and relative amounts of both of these energy-providing molecules by restructuring the proteome to metabolize or synthesize lipids and carbohydrates as needed.  In contrast to our results, after 11 weeks of exposure to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of 800 µatm, juvenile </w:t>
      </w:r>
      <w:r w:rsidRPr="00162C71">
        <w:rPr>
          <w:rFonts w:ascii="Times" w:hAnsi="Times"/>
          <w:i/>
          <w:sz w:val="24"/>
        </w:rPr>
        <w:t>C. virginica</w:t>
      </w:r>
      <w:r w:rsidRPr="00162C71">
        <w:rPr>
          <w:rFonts w:ascii="Times" w:hAnsi="Times"/>
          <w:sz w:val="24"/>
        </w:rPr>
        <w:t xml:space="preserve"> had significantly less lipid and glycogen per gram body weight than control oysters </w:t>
      </w:r>
      <w:r w:rsidRPr="00162C71">
        <w:rPr>
          <w:rFonts w:ascii="Times" w:hAnsi="Times"/>
          <w:sz w:val="24"/>
        </w:rPr>
        <w:fldChar w:fldCharType="begin" w:fldLock="1"/>
      </w:r>
      <w:r w:rsidRPr="00162C71">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(Dickinson et al., 2012)</w:t>
      </w:r>
      <w:r w:rsidRPr="00162C71">
        <w:rPr>
          <w:rFonts w:ascii="Times" w:hAnsi="Times"/>
          <w:sz w:val="24"/>
        </w:rPr>
        <w:fldChar w:fldCharType="end"/>
      </w:r>
      <w:r w:rsidRPr="00162C71">
        <w:rPr>
          <w:rFonts w:ascii="Times" w:hAnsi="Times"/>
          <w:sz w:val="24"/>
        </w:rPr>
        <w:t xml:space="preserve">.  The extended stress of the 11 week exposure in Dickinson et al. (2012) may have overwhelmed </w:t>
      </w:r>
      <w:r w:rsidRPr="00162C71">
        <w:rPr>
          <w:rFonts w:ascii="Times" w:hAnsi="Times"/>
          <w:i/>
          <w:sz w:val="24"/>
        </w:rPr>
        <w:t>C. virginica</w:t>
      </w:r>
      <w:r w:rsidRPr="00162C71">
        <w:rPr>
          <w:rFonts w:ascii="Times" w:hAnsi="Times"/>
          <w:sz w:val="24"/>
        </w:rPr>
        <w:t xml:space="preserve">’s ability to maintain lipid and carbohydrate homeostasis, suggesting that oyster energy metabolism may fail under consistent ocean acidification stress.  There are some instances where ocean acidification did not influence lipid levels in invertebrates.  For example, in larval sea urchins, despite the fact that individuals at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were smaller than control larvae,</w:t>
      </w:r>
      <w:r w:rsidRPr="00162C71">
        <w:rPr>
          <w:rFonts w:ascii="Times" w:hAnsi="Times"/>
          <w:sz w:val="24"/>
          <w:vertAlign w:val="subscript"/>
        </w:rPr>
        <w:t xml:space="preserve"> </w:t>
      </w:r>
      <w:r w:rsidRPr="00162C71">
        <w:rPr>
          <w:rFonts w:ascii="Times" w:hAnsi="Times"/>
          <w:sz w:val="24"/>
        </w:rPr>
        <w:t xml:space="preserve">they maintained the same lipid and protein levels </w:t>
      </w:r>
      <w:r w:rsidRPr="00162C71">
        <w:rPr>
          <w:rFonts w:ascii="Times" w:hAnsi="Times"/>
          <w:sz w:val="24"/>
        </w:rPr>
        <w:fldChar w:fldCharType="begin" w:fldLock="1"/>
      </w:r>
      <w:r w:rsidRPr="00162C71">
        <w:rPr>
          <w:rFonts w:ascii="Times" w:hAnsi="Times"/>
          <w:sz w:val="24"/>
        </w:rPr>
        <w:instrText>ADDIN CSL_CITATION { "citationItems" : [ { "id" : "ITEM-1", "itemData" : { "ISSN" : "1939-8697", "PMID" : "23264477", "abstract" : "Ocean acidification (OA) is expected to have a major impact on marine species, particularly during early life-history stages. These effects appear to be species-specific and may include reduced survival, altered morphology, and depressed metabolism. However, less information is available regarding the bioenergetics of development under elevated CO(2) conditions. We examined the biochemical and morphological responses of Strongylocentrotus purpuratus during early development under ecologically relevant levels of pCO(2) (365, 1030, and 1450 \u03bcatm) that may occur during intense upwelling events. The principal findings of this study were (1) lipid utilization rates and protein content in S. purpuratus did not vary with pCO(2); (2) larval growth was reduced at elevated pCO(2) despite similar rates of energy utilization; and (3) relationships between egg phospholipid content and larval length were found under control but not high pCO(2) conditions. These results suggest that this species may either prioritize endogenous energy toward development and physiological function at the expense of growth, or that reduced larval length may be strictly due to higher costs of growth under OA conditions. This study highlights the need to further expand our knowledge of the physiological mechanisms involved in OA response in order to better understand how present populations may respond to global environmental change.", "author" : [ { "dropping-particle" : "", "family" : "Matson", "given" : "Paul G", "non-dropping-particle" : "", "parse-names" : false, "suffix" : "" }, { "dropping-particle" : "", "family" : "Yu", "given" : "Pauline C", "non-dropping-particle" : "", "parse-names" : false, "suffix" : "" }, { "dropping-particle" : "", "family" : "Sewell", "given" : "Mary a", "non-dropping-particle" : "", "parse-names" : false, "suffix" : "" }, { "dropping-particle" : "", "family" : "Hofmann", "given" : "Gretchen E", "non-dropping-particle" : "", "parse-names" : false, "suffix" : "" } ], "container-title" : "The Biological bulletin", "id" : "ITEM-1", "issue" : "3", "issued" : { "date-parts" : [ [ "2012", "12" ] ] }, "page" : "312-27", "title" : "Development under elevated pCO2 conditions does not affect lipid utilization and protein content in early life-history stages of the purple sea urchin, Strongylocentrotus purpuratus.", "type" : "article-journal", "volume" : "223" }, "uris" : [ "http://www.mendeley.com/documents/?uuid=bee43e1b-cfe5-429a-aec9-03c8c599976e" ] } ], "mendeley" : { "manualFormatting" : "(Matson et al., 2012)", "previouslyFormattedCitation" : "(Matson, Yu, Sewell, &amp; Hofmann, 2012)"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(Matson et al., 2012)</w:t>
      </w:r>
      <w:r w:rsidRPr="00162C71">
        <w:rPr>
          <w:rFonts w:ascii="Times" w:hAnsi="Times"/>
          <w:sz w:val="24"/>
        </w:rPr>
        <w:fldChar w:fldCharType="end"/>
      </w:r>
      <w:r w:rsidRPr="00162C71">
        <w:rPr>
          <w:rFonts w:ascii="Times" w:hAnsi="Times"/>
          <w:sz w:val="24"/>
        </w:rPr>
        <w:t>.</w:t>
      </w:r>
    </w:p>
    <w:p w14:paraId="08426F41" w14:textId="77777777" w:rsidR="00162C71" w:rsidRPr="00162C71" w:rsidRDefault="00162C71" w:rsidP="00162C71">
      <w:pPr>
        <w:pStyle w:val="normal0"/>
        <w:spacing w:line="360" w:lineRule="auto"/>
        <w:rPr>
          <w:rFonts w:ascii="Times" w:hAnsi="Times"/>
          <w:sz w:val="24"/>
        </w:rPr>
      </w:pPr>
    </w:p>
    <w:p w14:paraId="5D407685" w14:textId="77B2C8BB" w:rsidR="00264A18" w:rsidRPr="00162C71" w:rsidRDefault="00162C71" w:rsidP="00162C71">
      <w:pPr>
        <w:pStyle w:val="normal0"/>
        <w:spacing w:line="360" w:lineRule="auto"/>
        <w:rPr>
          <w:rFonts w:ascii="Times" w:hAnsi="Times"/>
          <w:sz w:val="24"/>
        </w:rPr>
      </w:pPr>
      <w:r w:rsidRPr="00162C71">
        <w:rPr>
          <w:rFonts w:ascii="Times" w:hAnsi="Times"/>
          <w:i/>
          <w:sz w:val="24"/>
        </w:rPr>
        <w:tab/>
      </w:r>
      <w:r w:rsidRPr="00162C71">
        <w:rPr>
          <w:rFonts w:ascii="Times" w:hAnsi="Times"/>
          <w:sz w:val="24"/>
        </w:rPr>
        <w:t xml:space="preserve">Consistent with the hypothesis that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impacts underlying physiology, we predicted that lower pH would depress the temperature threshold for mortality after heat exposure.  The lack of influence on acute heat shock response across the four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treatments could be evidence that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has little effect on the oyster’s macro-physiological response.  We are not aware of other studies that have investigated ocean acidification and acute heat stress, but there are studies that have explored moderately elevated temperatures and ocean acidification over an extended period.  In </w:t>
      </w:r>
      <w:r w:rsidRPr="00162C71">
        <w:rPr>
          <w:rFonts w:ascii="Times" w:hAnsi="Times"/>
          <w:i/>
          <w:sz w:val="24"/>
        </w:rPr>
        <w:t>C. virginica</w:t>
      </w:r>
      <w:r w:rsidRPr="00162C71">
        <w:rPr>
          <w:rFonts w:ascii="Times" w:hAnsi="Times"/>
          <w:sz w:val="24"/>
        </w:rPr>
        <w:t xml:space="preserve">,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did not impact the oyster’s response to elevated temperature </w:t>
      </w:r>
      <w:r w:rsidRPr="00162C71">
        <w:rPr>
          <w:rFonts w:ascii="Times" w:hAnsi="Times"/>
          <w:sz w:val="24"/>
        </w:rPr>
        <w:fldChar w:fldCharType="begin" w:fldLock="1"/>
      </w:r>
      <w:r w:rsidRPr="00162C71">
        <w:rPr>
          <w:rFonts w:ascii="Times" w:hAnsi="Times"/>
          <w:sz w:val="24"/>
        </w:rPr>
        <w:instrText>ADDIN CSL_CITATION { "citationItems" : [ { "id" : "ITEM-1", "itemData" : { "DOI" : "10.1016/j.cbpa.2013.05.016", "ISSN" : "1531-4332", "PMID" : "23707887", "abstract" : "The continuing increase of carbon dioxide (CO2) levels in the atmosphere leads to increases in global temperatures and partial pressure of CO2 (PCO2) in surface waters, causing ocean acidification. These changes are especially pronounced in shallow coastal and estuarine waters and are expected to significantly affect marine calcifiers including bivalves that are ecosystem engineers in estuarine and coastal communities. To elucidate potential effects of higher temperatures and PCO2 on physiology and biomineralization of marine bivalves, we exposed two bivalve species, the eastern oysters Crassostrea virginica and the hard clams Mercenaria mercenaria to different combinations of PCO2 (~400 and 800\u03bcatm) and temperatures (22 and 27\u00b0C) for 15weeks. Survival, bioenergetic traits (tissue levels of lipids, glycogen, glucose and high energy phosphates) and biomineralization parameters (mechanical properties of the shells and activity of carbonic anhydrase, CA) were determined in clams and oysters under different temperature and PCO2 regimes. Our analysis showed major inter-species differences in shell mechanical traits and bioenergetics parameters. Elevated temperature led to the depletion of tissue energy reserves indicating energy deficiency in both species and resulted in higher mortality in oysters. Interestingly, while elevated PCO2 had a small effect on the physiology and metabolism of both species, it improved survival in oysters. At the same time, a combination of high temperature and elevated PCO2 lead to a significant decrease in shell hardness in both species, suggesting major changes in their biomineralization processes. Overall, these studies show that global climate change and ocean acidification might have complex interactive effects on physiology, metabolism and biomineralization in coastal and estuarine marine bivalves.", "author" : [ { "dropping-particle" : "V", "family" : "Ivanina", "given" : "Anna", "non-dropping-particle" : "", "parse-names" : false, "suffix" : "" }, { "dropping-particle" : "", "family" : "Dickinson", "given" : "Gary H", "non-dropping-particle" : "", "parse-names" : false, "suffix" : "" }, { "dropping-particle" : "", "family" : "Matoo", "given" : "Omera B", "non-dropping-particle" : "", "parse-names" : false, "suffix" : "" }, { "dropping-particle" : "", "family" : "Bagwe", "given" : "Rita", "non-dropping-particle" : "", "parse-names" : false, "suffix" : "" }, { "dropping-particle" : "", "family" : "Dickinson", "given" : "Ashley",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"1", "issued" : { "date-parts" : [ [ "2013", "9" ] ] }, "page" : "101-11", "publisher" : "Elsevier Inc.", "title" : "Interactive effects of elevated temperature and CO2 levels on energy metabolism and biomineralization of marine bivalves Crassostrea virginica and Mercenaria mercenaria.", "type" : "article-journal", "volume" : "166" }, "uris" : [ "http://www.mendeley.com/documents/?uuid=4c44a0c6-627e-41ae-b2a7-d5f5801e55e1" ] } ], "mendeley" : { "previouslyFormattedCitation" : "(Ivanina et al., 2013)"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(Ivanina et al., 2013)</w:t>
      </w:r>
      <w:r w:rsidRPr="00162C71">
        <w:rPr>
          <w:rFonts w:ascii="Times" w:hAnsi="Times"/>
          <w:sz w:val="24"/>
        </w:rPr>
        <w:fldChar w:fldCharType="end"/>
      </w:r>
      <w:r w:rsidRPr="00162C71">
        <w:rPr>
          <w:rFonts w:ascii="Times" w:hAnsi="Times"/>
          <w:sz w:val="24"/>
        </w:rPr>
        <w:t xml:space="preserve">.  In fact, Ivanina et al. (2013) demonstrated that exposure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limited high temperature-associated mortality in </w:t>
      </w:r>
      <w:r w:rsidRPr="00162C71">
        <w:rPr>
          <w:rFonts w:ascii="Times" w:hAnsi="Times"/>
          <w:i/>
          <w:sz w:val="24"/>
        </w:rPr>
        <w:t>C. virginica</w:t>
      </w:r>
      <w:r w:rsidRPr="00162C71">
        <w:rPr>
          <w:rFonts w:ascii="Times" w:hAnsi="Times"/>
          <w:sz w:val="24"/>
        </w:rPr>
        <w:t xml:space="preserve">.  It appears that extended exposure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did not mitigate oyster mortality in response to acute heat shock as it can do with long-term exposure to a moderately elevated temperature.</w:t>
      </w:r>
    </w:p>
    <w:p w14:paraId="0D0FB8E4" w14:textId="77777777" w:rsidR="00264A18" w:rsidRPr="00264A18" w:rsidRDefault="00264A18" w:rsidP="00264A18">
      <w:pPr>
        <w:pStyle w:val="normal0"/>
        <w:spacing w:line="360" w:lineRule="auto"/>
        <w:rPr>
          <w:rFonts w:ascii="Times" w:hAnsi="Times"/>
          <w:i/>
          <w:sz w:val="24"/>
        </w:rPr>
      </w:pPr>
    </w:p>
    <w:p w14:paraId="2F34BDDF" w14:textId="77777777" w:rsidR="00264A18" w:rsidRDefault="00264A18" w:rsidP="00264A18">
      <w:pPr>
        <w:pStyle w:val="Heading3"/>
      </w:pPr>
      <w:bookmarkStart w:id="79" w:name="_Toc257278821"/>
      <w:r w:rsidRPr="00264A18">
        <w:t>Proteomic response to ocean acidification</w:t>
      </w:r>
      <w:bookmarkEnd w:id="79"/>
      <w:r w:rsidRPr="00264A18">
        <w:tab/>
      </w:r>
    </w:p>
    <w:p w14:paraId="6DC2C028" w14:textId="77777777" w:rsidR="00264A18" w:rsidRPr="00264A18" w:rsidRDefault="00264A18" w:rsidP="00264A18"/>
    <w:p w14:paraId="1564F2F3" w14:textId="543EFCDA" w:rsidR="00264A18" w:rsidRPr="00162C71" w:rsidRDefault="00162C71" w:rsidP="00264A18">
      <w:pPr>
        <w:pStyle w:val="normal0"/>
        <w:spacing w:line="360" w:lineRule="auto"/>
        <w:ind w:firstLine="720"/>
        <w:rPr>
          <w:rFonts w:ascii="Times" w:hAnsi="Times"/>
          <w:sz w:val="24"/>
        </w:rPr>
      </w:pPr>
      <w:r w:rsidRPr="00162C71">
        <w:rPr>
          <w:rFonts w:ascii="Times" w:hAnsi="Times"/>
          <w:sz w:val="24"/>
        </w:rPr>
        <w:t xml:space="preserve">To achieve a comprehensive assessment of the underlying physiological impact of ocean acidification on oysters, we characterized the proteomic response.  Ocean acidification significantly affected the underlying molecular physiology of </w:t>
      </w:r>
      <w:r w:rsidRPr="00162C71">
        <w:rPr>
          <w:rFonts w:ascii="Times" w:hAnsi="Times"/>
          <w:i/>
          <w:sz w:val="24"/>
        </w:rPr>
        <w:t>C. gigas</w:t>
      </w:r>
      <w:r w:rsidRPr="00162C71">
        <w:rPr>
          <w:rFonts w:ascii="Times" w:hAnsi="Times"/>
          <w:sz w:val="24"/>
        </w:rPr>
        <w:t xml:space="preserve"> after one month of exposure.  Among the main processes affected were lipid and carbohydrate metabolism, cell adhesion, cytoskeleton processes, detoxification and the antioxidant response, the cellular stress response, DNA repair, transcription, and translation.  The details of some of these proteomic changes in response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are outlined below.</w:t>
      </w:r>
    </w:p>
    <w:p w14:paraId="5CC90D12" w14:textId="77777777" w:rsidR="00264A18" w:rsidRPr="00264A18" w:rsidRDefault="00264A18" w:rsidP="00264A18">
      <w:pPr>
        <w:pStyle w:val="normal0"/>
        <w:spacing w:line="360" w:lineRule="auto"/>
        <w:ind w:firstLine="720"/>
        <w:rPr>
          <w:rFonts w:ascii="Times" w:hAnsi="Times"/>
          <w:sz w:val="24"/>
        </w:rPr>
      </w:pPr>
    </w:p>
    <w:p w14:paraId="28075F9B" w14:textId="77777777" w:rsidR="00264A18" w:rsidRPr="00264A18" w:rsidRDefault="00264A18" w:rsidP="00264A18">
      <w:pPr>
        <w:pStyle w:val="Heading4"/>
      </w:pPr>
      <w:r w:rsidRPr="00264A18">
        <w:t>Carbohydrate metabolism</w:t>
      </w:r>
    </w:p>
    <w:p w14:paraId="63529E36" w14:textId="77777777" w:rsidR="00264A18" w:rsidRDefault="00264A18" w:rsidP="00264A18">
      <w:pPr>
        <w:pStyle w:val="normal0"/>
        <w:spacing w:line="360" w:lineRule="auto"/>
        <w:ind w:firstLine="720"/>
        <w:rPr>
          <w:rFonts w:ascii="Times" w:hAnsi="Times"/>
          <w:sz w:val="24"/>
        </w:rPr>
      </w:pPr>
    </w:p>
    <w:p w14:paraId="58BA7F3A" w14:textId="77777777" w:rsidR="00162C71"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One clear trend identified in gill protein expression patterns in oysters exposed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was the differential expression of proteins associated with carbohydrate metabolism.  Changes in these pathways imply alterations in energetic resource use upon exposure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Protein expression changed for a range of enzymes involved in producing glucose, perhaps revealing a shift in glucose production pathways during ocean acidification stress.  Proteins in the galactose metabolism pathway (UDP-glucose 4-epimerase, UDP-N-acetylhexosamine pyrophosphorylase, and N-acetylgalactosamine kinase), which can lead to increased glucose production, were expressed higher in oysters from the high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treatment.  Those involved in gluconeogenesis (serine-pyruvate aminotransferase) and conversion of other carbohydrates to glucose (glycogen debranching enzyme and pyruvate kinase muscle enzyme) were expressed at higher levels in oysters from the low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treatment.  One explanation for these changes is that during exposure to ocean acidification oysters need more glucose production in order to maintain homeostasis.  Interestingly, the oysters did not mobilize glycogen stores to meet this demand as glycogen content did not differ among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treatments.  Glycogen stores may have been maintained because they are typically mobilized as an immediate response to a short-term stress and/or an energetic priority is placed on maintaining glycogen as an investment in fitness.  In other taxa, the general stress response usually leads to increased carbohydrate metabolism and decreased carbohydrate storage, which is similar to observations from this study </w:t>
      </w:r>
      <w:r w:rsidRPr="00162C71">
        <w:rPr>
          <w:rFonts w:ascii="Times" w:hAnsi="Times"/>
          <w:sz w:val="24"/>
        </w:rPr>
        <w:fldChar w:fldCharType="begin" w:fldLock="1"/>
      </w:r>
      <w:r w:rsidRPr="00162C71">
        <w:rPr>
          <w:rFonts w:ascii="Times" w:hAnsi="Times"/>
          <w:sz w:val="24"/>
        </w:rPr>
        <w:instrText>ADDIN CSL_CITATION { "citationItems" : [ { "id" : "ITEM-1", "itemData" : { "author" : [ { "dropping-particle" : "", "family" : "Mizock", "given" : "Barry A", "non-dropping-particle" : "", "parse-names" : false, "suffix" : "" } ], "container-title" : "The American Journal of Medicine", "id" : "ITEM-1", "issued" : { "date-parts" : [ [ "1995" ] ] }, "page" : "75-84", "title" : "Alterations in Carbohydrate metabolism during stress: A review of the literature", "type" : "article-journal", "volume" : "98" }, "uris" : [ "http://www.mendeley.com/documents/?uuid=ca611a49-7bbf-4fc7-8617-f58a61d4590c" ] }, { "id" : "ITEM-2", "itemData" : { "author" : [ { "dropping-particle" : "", "family" : "Parrou", "given" : "Jean Luc", "non-dropping-particle" : "", "parse-names" : false, "suffix" : "" }, { "dropping-particle" : "", "family" : "Teste", "given" : "Marie-ange", "non-dropping-particle" : "", "parse-names" : false, "suffix" : "" }, { "dropping-particle" : "", "family" : "Franqois", "given" : "Jean", "non-dropping-particle" : "", "parse-names" : false, "suffix" : "" }, { "dropping-particle" : "", "family" : "Durand", "given" : "Gilbert", "non-dropping-particle" : "", "parse-names" : false, "suffix" : "" }, { "dropping-particle" : "", "family" : "Cnrs", "given" : "U M R", "non-dropping-particle" : "", "parse-names" : false, "suffix" : "" } ], "id" : "ITEM-2", "issued" : { "date-parts" : [ [ "1997" ] ] }, "page" : "1891-1900", "title" : "Effects of various types of stress on the metabolism of reserve carbohydrates in Saccharomyces cerevisiae : genetic evidence for a stress-induced recycling of glycogen and tre ha lose", "type" : "article-journal" }, "uris" : [ "http://www.mendeley.com/documents/?uuid=b75838d4-86cc-407d-ac66-2012d432a621" ] } ], "mendeley" : { "manualFormatting" : "(Mizock, 1995; Parrou et al., 1997)", "previouslyFormattedCitation" : "(Mizock, 1995; Parrou, Teste, Franqois, Durand, &amp; Cnrs, 1997)"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(Mizock, 1995; Parrou et al., 1997)</w:t>
      </w:r>
      <w:r w:rsidRPr="00162C71">
        <w:rPr>
          <w:rFonts w:ascii="Times" w:hAnsi="Times"/>
          <w:sz w:val="24"/>
        </w:rPr>
        <w:fldChar w:fldCharType="end"/>
      </w:r>
      <w:r w:rsidRPr="00162C71">
        <w:rPr>
          <w:rFonts w:ascii="Times" w:hAnsi="Times"/>
          <w:sz w:val="24"/>
        </w:rPr>
        <w:t>.  Ocean acidification appears to impact energy resource demands in the oyster, which could be of consequence during periods of immune stress or reproduction, which also require many energetic resources.</w:t>
      </w:r>
    </w:p>
    <w:p w14:paraId="3DEB7EA6" w14:textId="521DB520" w:rsidR="00264A18" w:rsidRPr="00264A18" w:rsidRDefault="00264A18" w:rsidP="00264A18">
      <w:pPr>
        <w:pStyle w:val="normal0"/>
        <w:spacing w:line="360" w:lineRule="auto"/>
        <w:ind w:firstLine="720"/>
        <w:rPr>
          <w:rFonts w:ascii="Times" w:hAnsi="Times"/>
          <w:sz w:val="24"/>
        </w:rPr>
      </w:pPr>
    </w:p>
    <w:p w14:paraId="0E6668C5" w14:textId="77777777" w:rsidR="00264A18" w:rsidRPr="00264A18" w:rsidRDefault="00264A18" w:rsidP="00264A18">
      <w:pPr>
        <w:pStyle w:val="normal0"/>
        <w:spacing w:line="360" w:lineRule="auto"/>
        <w:rPr>
          <w:rFonts w:ascii="Times" w:hAnsi="Times"/>
          <w:sz w:val="24"/>
        </w:rPr>
      </w:pPr>
    </w:p>
    <w:p w14:paraId="09CE0577" w14:textId="77777777" w:rsidR="00264A18" w:rsidRDefault="00264A18" w:rsidP="00264A18">
      <w:pPr>
        <w:pStyle w:val="Heading4"/>
      </w:pPr>
      <w:r w:rsidRPr="00264A18">
        <w:t>Lipid metabolism</w:t>
      </w:r>
    </w:p>
    <w:p w14:paraId="738C7C2B" w14:textId="77777777" w:rsidR="00264A18" w:rsidRPr="00264A18" w:rsidRDefault="00264A18" w:rsidP="00264A18"/>
    <w:p w14:paraId="0DA39557" w14:textId="77777777" w:rsidR="00162C71"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The expression of proteins involved in lipid metabolism, another important energy source, and lipid transport were significantly affected by exposure to ocean acidification.  Proteins implicated in fatty acid metabolism (enoyl-CoA hydratase), fatty acid transport (fatty acid-binding protein, heart) and lipid synthesis (ATP-citrate synthase) were expressed at higher levels after exposure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A protein involved in desaturation and elongation of fatty acids (NADH-cytochrome b5 reductase 1), likely for incorporation into cellular membranes, was expressed lower in the ocean acidification-exposed oysters.  Highly unsaturated fatty acids are more sensitive to oxidative damage, therefore a lower level of unsaturation may not only protect cellular membranes from reactive oxygen species (ROS) damage but may also protect molecules within the cell (reviewed in </w:t>
      </w:r>
      <w:r w:rsidRPr="00162C71">
        <w:rPr>
          <w:rFonts w:ascii="Times" w:hAnsi="Times"/>
          <w:sz w:val="24"/>
        </w:rPr>
        <w:fldChar w:fldCharType="begin" w:fldLock="1"/>
      </w:r>
      <w:r w:rsidRPr="00162C71">
        <w:rPr>
          <w:rFonts w:ascii="Times" w:hAnsi="Times"/>
          <w:sz w:val="24"/>
        </w:rPr>
        <w:instrText>ADDIN CSL_CITATION { "citationItems" : [ { "id" : "ITEM-1", "itemData" : { "author" : [ { "dropping-particle" : "", "family" : "Pamplona", "given" : "Reinald", "non-dropping-particle" : "", "parse-names" : false, "suffix" : "" }, { "dropping-particle" : "", "family" : "Barja", "given" : "Gustavo", "non-dropping-particle" : "", "parse-names" : false, "suffix" : "" }, { "dropping-particle" : "", "family" : "Portero-Ot\u00edn", "given" : "Manuel", "non-dropping-particle" : "", "parse-names" : false, "suffix" : "" } ], "container-title" : "Annals of the New York Academy of Sciences", "id" : "ITEM-1", "issued" : { "date-parts" : [ [ "2002" ] ] }, "page" : "475-490", "title" : "Membrane Fatty Acid Unsaturation, Protection against Oxidative Stress, and Maximum Life Span", "type" : "article-journal", "volume" : "959" }, "uris" : [ "http://www.mendeley.com/documents/?uuid=7445b18c-86a0-4f4b-af9a-7b82ba7e53f9" ] } ], "mendeley" : { "manualFormatting" : "Pamplona et al., 2002)", "previouslyFormattedCitation" : "(Pamplona, Barja, &amp; Portero-Ot\u00edn, 2002)"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Pamplona et al., 2002)</w:t>
      </w:r>
      <w:r w:rsidRPr="00162C71">
        <w:rPr>
          <w:rFonts w:ascii="Times" w:hAnsi="Times"/>
          <w:sz w:val="24"/>
        </w:rPr>
        <w:fldChar w:fldCharType="end"/>
      </w:r>
      <w:r w:rsidRPr="00162C71">
        <w:rPr>
          <w:rFonts w:ascii="Times" w:hAnsi="Times"/>
          <w:sz w:val="24"/>
        </w:rPr>
        <w:t xml:space="preserve">.  Lipid metabolism-associated genes/proteins were also expressed at higher levels in larval barnacles </w:t>
      </w:r>
      <w:r w:rsidRPr="00162C71">
        <w:rPr>
          <w:rFonts w:ascii="Times" w:hAnsi="Times"/>
          <w:sz w:val="24"/>
        </w:rPr>
        <w:fldChar w:fldCharType="begin" w:fldLock="1"/>
      </w:r>
      <w:r w:rsidRPr="00162C71">
        <w:rPr>
          <w:rFonts w:ascii="Times" w:hAnsi="Times"/>
          <w:sz w:val="24"/>
        </w:rPr>
        <w:instrText>ADDIN CSL_CITATION { "citationItems" : [ { "id" : "ITEM-1",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"ITEM-1", "issue" : "3", "issued" : { "date-parts" : [ [ "2011", "9" ] ] }, "page" : "310-21", "publisher" : "Elsevier Inc.", "title" : "Response of larval barnacle proteome to CO(2)-driven seawater acidification.", "type" : "article-journal", "volume" : "6" }, "uris" : [ "http://www.mendeley.com/documents/?uuid=e4598cec-fd29-45a8-91ba-7f11e97795cf" ] } ], "mendeley" : { "manualFormatting" : "(Wong et al., 2011)", "previouslyFormattedCitation" : "(Wong, Lane, Leung, &amp; Thiyagarajan, 2011)"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(Wong et al., 2011)</w:t>
      </w:r>
      <w:r w:rsidRPr="00162C71">
        <w:rPr>
          <w:rFonts w:ascii="Times" w:hAnsi="Times"/>
          <w:sz w:val="24"/>
        </w:rPr>
        <w:fldChar w:fldCharType="end"/>
      </w:r>
      <w:r w:rsidRPr="00162C71">
        <w:rPr>
          <w:rFonts w:ascii="Times" w:hAnsi="Times"/>
          <w:sz w:val="24"/>
        </w:rPr>
        <w:t xml:space="preserve"> and adult coral </w:t>
      </w:r>
      <w:r w:rsidRPr="00162C71">
        <w:rPr>
          <w:rFonts w:ascii="Times" w:hAnsi="Times"/>
          <w:sz w:val="24"/>
        </w:rPr>
        <w:fldChar w:fldCharType="begin" w:fldLock="1"/>
      </w:r>
      <w:r w:rsidRPr="00162C71">
        <w:rPr>
          <w:rFonts w:ascii="Times" w:hAnsi="Times"/>
          <w:sz w:val="24"/>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(Kaniewska et al., 2012)</w:t>
      </w:r>
      <w:r w:rsidRPr="00162C71">
        <w:rPr>
          <w:rFonts w:ascii="Times" w:hAnsi="Times"/>
          <w:sz w:val="24"/>
        </w:rPr>
        <w:fldChar w:fldCharType="end"/>
      </w:r>
      <w:r w:rsidRPr="00162C71">
        <w:rPr>
          <w:rFonts w:ascii="Times" w:hAnsi="Times"/>
          <w:sz w:val="24"/>
        </w:rPr>
        <w:t xml:space="preserve"> exposed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Changes in lipid metabolism, similar to the observed changes in carbohydrate metabolism, represent a shift in how energetic resources are used during extended environmental stress.  </w:t>
      </w:r>
    </w:p>
    <w:p w14:paraId="07C7E510" w14:textId="57A4F575" w:rsidR="00264A18"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Frequently during extended ocean acidification stress bivalves shift from metabolism of mostly carbohydrates and lipids to greater use of protein resources </w:t>
      </w:r>
      <w:r w:rsidRPr="00162C71">
        <w:rPr>
          <w:rFonts w:ascii="Times" w:hAnsi="Times"/>
          <w:sz w:val="24"/>
        </w:rPr>
        <w:fldChar w:fldCharType="begin" w:fldLock="1"/>
      </w:r>
      <w:r w:rsidRPr="00162C71">
        <w:rPr>
          <w:rFonts w:ascii="Times" w:hAnsi="Times"/>
          <w:sz w:val="24"/>
        </w:rPr>
        <w:instrText>ADDIN CSL_CITATION { "citationItems" : [ { "id" : "ITEM-1", "itemData" : { "author" : [ { "dropping-particle" : "", "family" : "Michaelidis", "given" : "Basile", "non-dropping-particle" : "", "parse-names" : false, "suffix" : "" }, { "dropping-particle" : "", "family" : "Ouzounis", "given" : "Christos", "non-dropping-particle" : "", "parse-names" : false, "suffix" : "" }, { "dropping-particle" : "", "family" : "Paleras", "given" : "Andreas", "non-dropping-particle" : "", "parse-names" : false, "suffix" : "" }, { "dropping-particle" : "", "family" : "P\u00f6rtner", "given" : "Hans O", "non-dropping-particle" : "", "parse-names" : false, "suffix" : "" } ], "container-title" : "Marine Ecology Progress Series", "id" : "ITEM-1", "issued" : { "date-parts" : [ [ "2005" ] ] }, "page" : "109-118", "title" : "Effects of long-term moderate hypercapnia on acid \u2013 base balance and growth rate in marine mussels Mytilus galloprovincialis", "type" : "article-journal", "volume" : "293" }, "uris" : [ "http://www.mendeley.com/documents/?uuid=cf56c145-c79b-47e0-a67d-bd73d711332c" ] }, { "id" : "ITEM-2",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"ITEM-2",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"manualFormatting" : "(Clark et al., 2013; Michaelidis et al., 2005)", "previouslyFormattedCitation" : "(Clark et al., 2013; Michaelidis, Ouzounis, Paleras, &amp; P\u00f6rtner, 2005)"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(Clark et al., 2013; Michaelidis et al., 2005)</w:t>
      </w:r>
      <w:r w:rsidRPr="00162C71">
        <w:rPr>
          <w:rFonts w:ascii="Times" w:hAnsi="Times"/>
          <w:sz w:val="24"/>
        </w:rPr>
        <w:fldChar w:fldCharType="end"/>
      </w:r>
      <w:r w:rsidRPr="00162C71">
        <w:rPr>
          <w:rFonts w:ascii="Times" w:hAnsi="Times"/>
          <w:sz w:val="24"/>
        </w:rPr>
        <w:t xml:space="preserve">. In this study, the observed proteomic changes were not yet reflected at the level of oyster fatty acid profiles, but the results suggest that with extended exposure both carbohydrate and lipid reserves would be altered by exposure to ocean acidification.  For example, lipid and glycogen stores were reduced in </w:t>
      </w:r>
      <w:r w:rsidRPr="00162C71">
        <w:rPr>
          <w:rFonts w:ascii="Times" w:hAnsi="Times"/>
          <w:i/>
          <w:sz w:val="24"/>
        </w:rPr>
        <w:t xml:space="preserve">C. virginica </w:t>
      </w:r>
      <w:r w:rsidRPr="00162C71">
        <w:rPr>
          <w:rFonts w:ascii="Times" w:hAnsi="Times"/>
          <w:sz w:val="24"/>
        </w:rPr>
        <w:t xml:space="preserve">after eleven weeks at low pH </w:t>
      </w:r>
      <w:r w:rsidRPr="00162C71">
        <w:rPr>
          <w:rFonts w:ascii="Times" w:hAnsi="Times"/>
          <w:sz w:val="24"/>
        </w:rPr>
        <w:fldChar w:fldCharType="begin" w:fldLock="1"/>
      </w:r>
      <w:r w:rsidRPr="00162C71">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(Dickinson et al., 2012)</w:t>
      </w:r>
      <w:r w:rsidRPr="00162C71">
        <w:rPr>
          <w:rFonts w:ascii="Times" w:hAnsi="Times"/>
          <w:sz w:val="24"/>
        </w:rPr>
        <w:fldChar w:fldCharType="end"/>
      </w:r>
      <w:r w:rsidRPr="00162C71">
        <w:rPr>
          <w:rFonts w:ascii="Times" w:hAnsi="Times"/>
          <w:sz w:val="24"/>
        </w:rPr>
        <w:t xml:space="preserve">.  The effects of changes in metabolism may already be seen at the proteomic level in </w:t>
      </w:r>
      <w:r w:rsidRPr="00162C71">
        <w:rPr>
          <w:rFonts w:ascii="Times" w:hAnsi="Times"/>
          <w:i/>
          <w:sz w:val="24"/>
        </w:rPr>
        <w:t xml:space="preserve">C. gigas </w:t>
      </w:r>
      <w:r w:rsidRPr="00162C71">
        <w:rPr>
          <w:rFonts w:ascii="Times" w:hAnsi="Times"/>
          <w:sz w:val="24"/>
        </w:rPr>
        <w:t>with decreased expression of proteins instrumental to muscle growth (kyphoscoliosis peptidase) and muscle repair (dysferlin) as well as the immune response (lymphocyte cytosolic protein 2 and allograft inflammatory factor 1).  Maintenance of a robust immune response and of healthy muscle mass are both important for the long-term fitness of oysters and ocean acidification may be affecting these processes via the reallocation of resources.</w:t>
      </w:r>
    </w:p>
    <w:p w14:paraId="1AAB54C8" w14:textId="77777777" w:rsidR="00264A18" w:rsidRPr="00264A18" w:rsidRDefault="00264A18" w:rsidP="00264A18">
      <w:pPr>
        <w:pStyle w:val="normal0"/>
        <w:spacing w:line="360" w:lineRule="auto"/>
        <w:rPr>
          <w:rFonts w:ascii="Times" w:hAnsi="Times"/>
          <w:sz w:val="24"/>
        </w:rPr>
      </w:pPr>
    </w:p>
    <w:p w14:paraId="39E03873" w14:textId="77777777" w:rsidR="00264A18" w:rsidRDefault="00264A18" w:rsidP="00264A18">
      <w:pPr>
        <w:pStyle w:val="Heading4"/>
      </w:pPr>
      <w:r w:rsidRPr="00264A18">
        <w:t>Oxidative metabolism</w:t>
      </w:r>
    </w:p>
    <w:p w14:paraId="6F8475CE" w14:textId="77777777" w:rsidR="00264A18" w:rsidRPr="00264A18" w:rsidRDefault="00264A18" w:rsidP="00264A18"/>
    <w:p w14:paraId="2E495B6F" w14:textId="592F287E" w:rsidR="00264A18" w:rsidRPr="00162C71" w:rsidRDefault="00162C71" w:rsidP="00162C71">
      <w:pPr>
        <w:pStyle w:val="normal0"/>
        <w:spacing w:line="360" w:lineRule="auto"/>
        <w:ind w:firstLine="720"/>
        <w:rPr>
          <w:rFonts w:ascii="Times" w:hAnsi="Times"/>
          <w:sz w:val="24"/>
        </w:rPr>
      </w:pPr>
      <w:r w:rsidRPr="00162C71">
        <w:rPr>
          <w:rFonts w:ascii="Times" w:hAnsi="Times"/>
          <w:sz w:val="24"/>
        </w:rPr>
        <w:t>Oxidative metabolism proteins were also affected by exposure to ocean acidification conditions, imposing further changes on energy supply and perhaps increasing oxidative stress</w:t>
      </w:r>
      <w:r w:rsidRPr="00162C71">
        <w:rPr>
          <w:rFonts w:ascii="Times" w:hAnsi="Times"/>
          <w:b/>
          <w:sz w:val="24"/>
        </w:rPr>
        <w:t xml:space="preserve">. </w:t>
      </w:r>
      <w:r w:rsidRPr="00162C71">
        <w:rPr>
          <w:rFonts w:ascii="Times" w:hAnsi="Times"/>
          <w:sz w:val="24"/>
        </w:rPr>
        <w:t xml:space="preserve"> Increased expression of proteins cytochrome c oxidase and NADH dehydrogenase implies that oysters exposed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t xml:space="preserve">experienced a heightened demand for energy (i.e. increased ATP production in mitochondria).  Heightened metabolism can occur in response to an ongoing stress (Mizock 1995) and may be an important adaptive strategy to counteract the physiological effects of elevated environmental </w:t>
      </w:r>
      <w:r w:rsidRPr="00162C71">
        <w:rPr>
          <w:rFonts w:ascii="Times" w:hAnsi="Times"/>
          <w:i/>
          <w:sz w:val="24"/>
        </w:rPr>
        <w:t>p</w:t>
      </w:r>
      <w:r w:rsidRPr="00162C71">
        <w:rPr>
          <w:rFonts w:ascii="Times" w:hAnsi="Times"/>
          <w:sz w:val="24"/>
        </w:rPr>
        <w:t>CO</w:t>
      </w:r>
      <w:r w:rsidRPr="00162C71">
        <w:rPr>
          <w:rFonts w:ascii="Times" w:hAnsi="Times"/>
          <w:sz w:val="24"/>
          <w:vertAlign w:val="subscript"/>
        </w:rPr>
        <w:t xml:space="preserve">2 </w:t>
      </w:r>
      <w:r w:rsidRPr="00162C71">
        <w:rPr>
          <w:rFonts w:ascii="Times" w:hAnsi="Times"/>
          <w:sz w:val="24"/>
        </w:rPr>
        <w:fldChar w:fldCharType="begin" w:fldLock="1"/>
      </w:r>
      <w:r w:rsidRPr="00162C71">
        <w:rPr>
          <w:rFonts w:ascii="Times" w:hAnsi="Times"/>
          <w:sz w:val="24"/>
        </w:rPr>
        <w:instrText>ADDIN CSL_CITATION { "citationItems" : [ { "id" : "ITEM-1", "itemData" : { "DOI" : "10.5194/bg-6-2313-2009", "ISSN" : "1726-4189", "author" : [ { "dropping-particle" : "", "family" : "Melzner", "given" : "F.", "non-dropping-particle" : "", "parse-names" : false, "suffix" : "" }, { "dropping-particle" : "", "family" : "Gutowska", "given" : "M. a.", "non-dropping-particle" : "", "parse-names" : false, "suffix" : "" }, { "dropping-particle" : "", "family" : "Langenbuch", "given" : "M.", "non-dropping-particle" : "", "parse-names" : false, "suffix" : "" }, { "dropping-particle" : "", "family" : "Dupont", "given" : "S.", "non-dropping-particle" : "", "parse-names" : false, "suffix" : "" }, { "dropping-particle" : "", "family" : "Lucassen", "given" : "M.", "non-dropping-particle" : "", "parse-names" : false, "suffix" : "" }, { "dropping-particle" : "", "family" : "Thorndyke", "given" : "M. C.", "non-dropping-particle" : "", "parse-names" : false, "suffix" : "" }, { "dropping-particle" : "", "family" : "Bleich", "given" : "M.", "non-dropping-particle" : "", "parse-names" : false, "suffix" : "" }, { "dropping-particle" : "", "family" : "P\u00f6rtner", "given" : "H.-O.", "non-dropping-particle" : "", "parse-names" : false, "suffix" : "" } ], "container-title" : "Biogeosciences", "id" : "ITEM-1", "issue" : "10", "issued" : { "date-parts" : [ [ "2009", "10", "30" ] ] }, "page" : "2313-2331", "title" : "Physiological basis for high CO&lt;sub&gt;2&lt;/sub&gt; tolerance in marine ectothermic animals: pre-adaptation through lifestyle and ontogeny?", "type" : "article-journal", "volume" : "6" }, "uris" : [ "http://www.mendeley.com/documents/?uuid=1c56aefa-f36a-4660-9793-ead3eb533716" ] } ], "mendeley" : { "manualFormatting" : "(Melzner et al., 2009)", "previouslyFormattedCitation" : "(F. Melzner et al., 2009)"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(Melzner et al., 2009)</w:t>
      </w:r>
      <w:r w:rsidRPr="00162C71">
        <w:rPr>
          <w:rFonts w:ascii="Times" w:hAnsi="Times"/>
          <w:sz w:val="24"/>
        </w:rPr>
        <w:fldChar w:fldCharType="end"/>
      </w:r>
      <w:r w:rsidRPr="00162C71">
        <w:rPr>
          <w:rFonts w:ascii="Times" w:hAnsi="Times"/>
          <w:sz w:val="24"/>
        </w:rPr>
        <w:t xml:space="preserve">.  However, this response can be species specific: increased metabolic rate was observed in </w:t>
      </w:r>
      <w:r w:rsidRPr="00162C71">
        <w:rPr>
          <w:rFonts w:ascii="Times" w:hAnsi="Times"/>
          <w:i/>
          <w:sz w:val="24"/>
        </w:rPr>
        <w:t>M. mercenaria</w:t>
      </w:r>
      <w:r w:rsidRPr="00162C71">
        <w:rPr>
          <w:rFonts w:ascii="Times" w:hAnsi="Times"/>
          <w:sz w:val="24"/>
        </w:rPr>
        <w:t xml:space="preserve">’s response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and temperature </w:t>
      </w:r>
      <w:r w:rsidRPr="00162C71">
        <w:rPr>
          <w:rFonts w:ascii="Times" w:hAnsi="Times"/>
          <w:sz w:val="24"/>
        </w:rPr>
        <w:fldChar w:fldCharType="begin" w:fldLock="1"/>
      </w:r>
      <w:r w:rsidRPr="00162C71">
        <w:rPr>
          <w:rFonts w:ascii="Times" w:hAnsi="Times"/>
          <w:sz w:val="24"/>
        </w:rPr>
        <w:instrText>ADDIN CSL_CITATION { "citationItems" : [ { "id" : "ITEM-1", "itemData" : { "DOI" : "10.1016/j.cbpa.2012.12.025", "ISSN" : "1531-4332", "PMID" : "23319162", "abstract" : "Marine bivalves such as the hard shell clams Mercenaria mercenaria and eastern oysters Crassostrea virginica are affected by multiple stressors, including fluctuations in temperature and CO2 levels in estuaries, and these stresses are expected to be exacerbated by ongoing global climate change. Hypercapnia (elevated CO2 levels) and temperature stress can affect survival, growth and development of marine bivalves, but the cellular mechanisms of these effects are not yet fully understood. In this study, we investigated whether oxidative stress is implicated in cellular responses to elevated temperature and CO2 levels in marine bivalves. We measured the whole-organism standard metabolic rate (SMR), total antioxidant capacity (TAOC), and levels of oxidative stress biomarkers in the muscle tissues of clams and oysters exposed to different temperatures (22 and 27\u00b0C) and CO2 levels (the present day conditions of ~400ppm CO2 and 800ppm CO2 predicted by a consensus business-as-usual IPCC emission scenario for the year 2100). SMR was significantly higher and the antioxidant capacity was lower in oysters than in clams. Aerobic metabolism was largely temperature-independent in these two species in the studied temperature range (22-27\u00b0C). However, the combined exposure to elevated temperature and hypercapnia led to elevated SMR in clams indicating elevated costs of basal maintenance. No persistent oxidative stress signal (measured by the levels of protein carbonyls, and protein conjugates with malondialdehyde and 4-hydroxynonenal) was observed during the long-term exposure to moderate warming (+5\u00b0C) and hypercapnia (~800ppm CO2). This indicates that long-term exposure to moderately elevated CO2 and temperature minimally affects the cellular redox status in these bivalve species and that the earlier observed negative physiological effects of elevated CO2 and temperature must be explained by other cellular mechanisms.", "author" : [ { "dropping-particle" : "", "family" : "Matoo", "given" : "Omera B", "non-dropping-particle" : "", "parse-names" : false, "suffix" : "" }, { "dropping-particle" : "V", "family" : "Ivanina", "given" : "Anna", "non-dropping-particle" : "", "parse-names" : false, "suffix" : "" }, { "dropping-particle" : "", "family" : "Ullstad", "given" : "Claus",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"4", "issued" : { "date-parts" : [ [ "2013", "4" ] ] }, "page" : "545-53", "publisher" : "Elsevier Inc.", "title" : "Interactive effects of elevated temperature and CO(2) levels on metabolism and oxidative stress in two common marine bivalves (Crassostrea virginica and Mercenaria mercenaria).", "type" : "article-journal", "volume" : "164" }, "uris" : [ "http://www.mendeley.com/documents/?uuid=d7972656-f16f-4d6d-ab98-2856591a0da9" ] } ], "mendeley" : { "manualFormatting" : "(Matoo et al., 2013)", "previouslyFormattedCitation" : "(Matoo, Ivanina, Ullstad, Beniash, &amp; Sokolova, 2013)"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(Matoo et al., 2013)</w:t>
      </w:r>
      <w:r w:rsidRPr="00162C71">
        <w:rPr>
          <w:rFonts w:ascii="Times" w:hAnsi="Times"/>
          <w:sz w:val="24"/>
        </w:rPr>
        <w:fldChar w:fldCharType="end"/>
      </w:r>
      <w:r w:rsidRPr="00162C71">
        <w:rPr>
          <w:rFonts w:ascii="Times" w:hAnsi="Times"/>
          <w:sz w:val="24"/>
        </w:rPr>
        <w:t xml:space="preserve">, while </w:t>
      </w:r>
      <w:r w:rsidRPr="00162C71">
        <w:rPr>
          <w:rFonts w:ascii="Times" w:hAnsi="Times"/>
          <w:i/>
          <w:sz w:val="24"/>
        </w:rPr>
        <w:t>C. gigas</w:t>
      </w:r>
      <w:r w:rsidRPr="00162C71">
        <w:rPr>
          <w:rFonts w:ascii="Times" w:hAnsi="Times"/>
          <w:sz w:val="24"/>
        </w:rPr>
        <w:t xml:space="preserve">’ metabolic rate was suppressed </w:t>
      </w:r>
      <w:r w:rsidRPr="00162C71">
        <w:rPr>
          <w:rFonts w:ascii="Times" w:hAnsi="Times"/>
          <w:sz w:val="24"/>
        </w:rPr>
        <w:fldChar w:fldCharType="begin" w:fldLock="1"/>
      </w:r>
      <w:r w:rsidRPr="00162C71">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"previouslyFormattedCitation" : "(Lannig et al., 2010)"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(Lannig et al., 2010)</w:t>
      </w:r>
      <w:r w:rsidRPr="00162C71">
        <w:rPr>
          <w:rFonts w:ascii="Times" w:hAnsi="Times"/>
          <w:sz w:val="24"/>
        </w:rPr>
        <w:fldChar w:fldCharType="end"/>
      </w:r>
      <w:r w:rsidRPr="00162C71">
        <w:rPr>
          <w:rFonts w:ascii="Times" w:hAnsi="Times"/>
          <w:sz w:val="24"/>
        </w:rPr>
        <w:t xml:space="preserve">.  Expression of proteins and genes associated with metabolic processes are among the most common changes when invertebrates are exposed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Genes associated with metabolism were expressed at lower levels in larval urchins </w:t>
      </w:r>
      <w:r w:rsidRPr="00162C71">
        <w:rPr>
          <w:rFonts w:ascii="Times" w:hAnsi="Times"/>
          <w:sz w:val="24"/>
        </w:rPr>
        <w:fldChar w:fldCharType="begin" w:fldLock="1"/>
      </w:r>
      <w:r w:rsidRPr="00162C71">
        <w:rPr>
          <w:rFonts w:ascii="Times" w:hAnsi="Times"/>
          <w:sz w:val="24"/>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(Todgham and Hofmann, 2009)</w:t>
      </w:r>
      <w:r w:rsidRPr="00162C71">
        <w:rPr>
          <w:rFonts w:ascii="Times" w:hAnsi="Times"/>
          <w:sz w:val="24"/>
        </w:rPr>
        <w:fldChar w:fldCharType="end"/>
      </w:r>
      <w:r w:rsidRPr="00162C71">
        <w:rPr>
          <w:rFonts w:ascii="Times" w:hAnsi="Times"/>
          <w:sz w:val="24"/>
        </w:rPr>
        <w:t xml:space="preserve">, adult corals </w:t>
      </w:r>
      <w:r w:rsidRPr="00162C71">
        <w:rPr>
          <w:rFonts w:ascii="Times" w:hAnsi="Times"/>
          <w:sz w:val="24"/>
        </w:rPr>
        <w:fldChar w:fldCharType="begin" w:fldLock="1"/>
      </w:r>
      <w:r w:rsidRPr="00162C71">
        <w:rPr>
          <w:rFonts w:ascii="Times" w:hAnsi="Times"/>
          <w:sz w:val="24"/>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(Kaniewska et al., 2012)</w:t>
      </w:r>
      <w:r w:rsidRPr="00162C71">
        <w:rPr>
          <w:rFonts w:ascii="Times" w:hAnsi="Times"/>
          <w:sz w:val="24"/>
        </w:rPr>
        <w:fldChar w:fldCharType="end"/>
      </w:r>
      <w:r w:rsidRPr="00162C71">
        <w:rPr>
          <w:rFonts w:ascii="Times" w:hAnsi="Times"/>
          <w:sz w:val="24"/>
        </w:rPr>
        <w:t xml:space="preserve">, larval oysters </w:t>
      </w:r>
      <w:r w:rsidRPr="00162C71">
        <w:rPr>
          <w:rFonts w:ascii="Times" w:hAnsi="Times"/>
          <w:sz w:val="24"/>
        </w:rPr>
        <w:fldChar w:fldCharType="begin" w:fldLock="1"/>
      </w:r>
      <w:r w:rsidRPr="00162C71">
        <w:rPr>
          <w:rFonts w:ascii="Times" w:hAnsi="Times"/>
          <w:sz w:val="24"/>
        </w:rP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"id" : "ITEM-2", "itemData" : { "DOI" : "10.1016/j.marpolbul.2012.07.043", "ISSN" : "1879-3363", "PMID" : "22921897", "abstract" : "Most calcifying organisms show depressed metabolic, growth and calcification rates as symptoms to high-CO(2) due to ocean acidification (OA) process. Analysis of the global expression pattern of proteins (proteome analysis) represents a powerful tool to examine these physiological symptoms at molecular level, but its applications are inadequate. To address this knowledge gap, 2-DE coupled with mass spectrophotometer was used to compare the global protein expression pattern of oyster larvae exposed to ambient and to high-CO(2). Exposure to OA resulted in marked reduction of global protein expression with a decrease or loss of 71 proteins (18% of the expressed proteins in control), indicating a wide-spread depression of metabolic genes expression in larvae reared under OA. This is, to our knowledge, the first proteome analysis that provides insights into the link between physiological suppression and protein down-regulation under OA in oyster larvae.", "author" : [ { "dropping-particle" : "", "family" : "Dineshram", "given" : "R", "non-dropping-particle" : "", "parse-names" : false, "suffix" : "" }, { "dropping-particle" : "", "family" : "Wong", "given" : "Kelvin K W", "non-dropping-particle" : "", "parse-names" : false, "suffix" : "" }, { "dropping-particle" : "", "family" : "Xiao", "given" : "Shu", "non-dropping-particle" : "", "parse-names" : false, "suffix" : "" }, { "dropping-particle" : "", "family" : "Yu", "given" : "Ziniu", "non-dropping-particle" : "", "parse-names" : false, "suffix" : "" }, { "dropping-particle" : "", "family" : "Qian", "given" : "Pei Yuan", "non-dropping-particle" : "", "parse-names" : false, "suffix" : "" }, { "dropping-particle" : "", "family" : "Thiyagarajan", "given" : "Vengatesen", "non-dropping-particle" : "", "parse-names" : false, "suffix" : "" } ], "container-title" : "Marine pollution bulletin", "id" : "ITEM-2", "issue" : "10", "issued" : { "date-parts" : [ [ "2012", "10" ] ] }, "page" : "2160-7", "publisher" : "Elsevier Ltd", "title" : "Analysis of Pacific oyster larval proteome and its response to high-CO2.", "type" : "article-journal", "volume" : "64" }, "uris" : [ "http://www.mendeley.com/documents/?uuid=1db9b9bd-4d25-478c-9a83-bd008f052ff9" ] } ], "mendeley" : { "previouslyFormattedCitation" : "(Dineshram et al., 2012, 2013)"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(Dineshram et al., 2012, 2013)</w:t>
      </w:r>
      <w:r w:rsidRPr="00162C71">
        <w:rPr>
          <w:rFonts w:ascii="Times" w:hAnsi="Times"/>
          <w:sz w:val="24"/>
        </w:rPr>
        <w:fldChar w:fldCharType="end"/>
      </w:r>
      <w:r w:rsidRPr="00162C71">
        <w:rPr>
          <w:rFonts w:ascii="Times" w:hAnsi="Times"/>
          <w:sz w:val="24"/>
        </w:rPr>
        <w:t xml:space="preserve">, and larval tube worms </w:t>
      </w:r>
      <w:r w:rsidRPr="00162C71">
        <w:rPr>
          <w:rFonts w:ascii="Times" w:hAnsi="Times"/>
          <w:sz w:val="24"/>
        </w:rPr>
        <w:fldChar w:fldCharType="begin" w:fldLock="1"/>
      </w:r>
      <w:r w:rsidRPr="00162C71">
        <w:rPr>
          <w:rFonts w:ascii="Times" w:hAnsi="Times"/>
          <w:sz w:val="24"/>
        </w:rPr>
        <w:instrText>ADDIN CSL_CITATION { "citationItems" : [ { "id" : "ITEM-1", "itemData" : { "DOI" : "10.1242/jeb.094516", "ISSN" : "1477-9145", "PMID" : "24307710", "abstract" : "Calcifying marine invertebrates with complex life cycles are particularly at risk to climate changes as they undergo an abrupt ontogenetic shift during larval metamorphosis. Although our understanding of the larval response to climate changes is rapidly advancing, the proteome plasticity involved in a compensatory response to climate change is still unknown. In this study, we investigated the proteomic response of metamorphosing larvae of the tubeworm Hydroides elegans, challenged with two climate change stressors, ocean acidification (OA; pH 7.6) and hypoxia (HYP; 2.8 mg O2 l(-1)), and with both combined. Using a two-dimensional gel electrophoresis (2-DE)-based approach coupled with mass spectrometry, we found that climate change stressors did not affect metamorphosis except under OA, but altered the larval proteome and phosphorylation status. Metabolism and various stress and calcification-related proteins were downregulated in response to OA. In OA and HYP combined, HYP restored the expression of the calcification-related proteins to the control levels. We speculate that mild HYP stress could compensate for the negative effects of OA. This study also discusses the potential functions of selected proteins that might play important roles in larval acclimation and adaption to climate change.", "author" : [ { "dropping-particle" : "", "family" : "Mukherjee", "given" : "Joy", "non-dropping-particle" : "", "parse-names" : false, "suffix" : "" }, { "dropping-particle" : "", "family" : "Wong", "given" : "Kelvin K W", "non-dropping-particle" : "", "parse-names" : false, "suffix" : "" }, { "dropping-particle" : "", "family" : "Chandramouli", "given" : "Kondethimmanahalli H", "non-dropping-particle" : "", "parse-names" : false, "suffix" : "" }, { "dropping-particle" : "", "family" : "Qian", "given" : "Pei-Yuan", "non-dropping-particle" : "", "parse-names" : false, "suffix" : "" }, { "dropping-particle" : "", "family" : "Leung", "given" : "Priscilla T Y", "non-dropping-particle" : "", "parse-names" : false, "suffix" : "" }, { "dropping-particle" : "", "family" : "Wu", "given" : "Rudolf S S", "non-dropping-particle" : "", "parse-names" : false, "suffix" : "" }, { "dropping-particle" : "", "family" : "Thiyagarajan", "given" : "Vengatesen", "non-dropping-particle" : "", "parse-names" : false, "suffix" : "" } ], "container-title" : "The Journal of experimental biology", "id" : "ITEM-1", "issue" : "Pt 24", "issued" : { "date-parts" : [ [ "2013", "12", "15" ] ] }, "page" : "4580-9", "title" : "Proteomic response of marine invertebrate larvae to ocean acidification and hypoxia during metamorphosis and calcification.", "type" : "article-journal", "volume" : "216" }, "uris" : [ "http://www.mendeley.com/documents/?uuid=2dc28259-5cbc-4bcd-92d7-136d88e23827" ] } ], "mendeley" : { "previouslyFormattedCitation" : "(Mukherjee et al., 2013)"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(Mukherjee et al., 2013)</w:t>
      </w:r>
      <w:r w:rsidRPr="00162C71">
        <w:rPr>
          <w:rFonts w:ascii="Times" w:hAnsi="Times"/>
          <w:sz w:val="24"/>
        </w:rPr>
        <w:fldChar w:fldCharType="end"/>
      </w:r>
      <w:r w:rsidRPr="00162C71">
        <w:rPr>
          <w:rFonts w:ascii="Times" w:hAnsi="Times"/>
          <w:sz w:val="24"/>
        </w:rPr>
        <w:t xml:space="preserve">.  In the mantle tissue of </w:t>
      </w:r>
      <w:r w:rsidRPr="00162C71">
        <w:rPr>
          <w:rFonts w:ascii="Times" w:hAnsi="Times"/>
          <w:i/>
          <w:sz w:val="24"/>
        </w:rPr>
        <w:t>C. virginica</w:t>
      </w:r>
      <w:r w:rsidRPr="00162C71">
        <w:rPr>
          <w:rFonts w:ascii="Times" w:hAnsi="Times"/>
          <w:sz w:val="24"/>
        </w:rPr>
        <w:t xml:space="preserve">, proteins associated with energy metabolism (mitochondrial malate dehydrogenase, 40S ribosomal protein, and proteasome α type 3) were expressed at higher levels after exposure to low pH </w:t>
      </w:r>
      <w:r w:rsidRPr="00162C71">
        <w:rPr>
          <w:rFonts w:ascii="Times" w:hAnsi="Times"/>
          <w:sz w:val="24"/>
        </w:rPr>
        <w:fldChar w:fldCharType="begin" w:fldLock="1"/>
      </w:r>
      <w:r w:rsidRPr="00162C71">
        <w:rPr>
          <w:rFonts w:ascii="Times" w:hAnsi="Times"/>
          <w:sz w:val="24"/>
        </w:rP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"(Tomanek et al., 2011)", "previouslyFormattedCitation" : "(Tomanek, Zuzow, Ivanina, Beniash, &amp; Sokolova, 2011)"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(Tomanek et al., 2011)</w:t>
      </w:r>
      <w:r w:rsidRPr="00162C71">
        <w:rPr>
          <w:rFonts w:ascii="Times" w:hAnsi="Times"/>
          <w:sz w:val="24"/>
        </w:rPr>
        <w:fldChar w:fldCharType="end"/>
      </w:r>
      <w:r w:rsidRPr="00162C71">
        <w:rPr>
          <w:rFonts w:ascii="Times" w:hAnsi="Times"/>
          <w:sz w:val="24"/>
        </w:rPr>
        <w:t>.  Most of these other studies revealed down-regulation of metabolic pathways, while we found a shift between different pathways, perhaps indicating preferred methods of metabolism during stress.  These slight differences in results may be due to life stage and tissue type or simply the increased sensitivity of using shotgun proteomics.</w:t>
      </w:r>
    </w:p>
    <w:p w14:paraId="4F4582C5" w14:textId="77777777" w:rsidR="00264A18" w:rsidRPr="00264A18" w:rsidRDefault="00264A18" w:rsidP="00264A18">
      <w:pPr>
        <w:pStyle w:val="Heading4"/>
      </w:pPr>
      <w:r w:rsidRPr="00264A18">
        <w:t>Cellular stress</w:t>
      </w:r>
    </w:p>
    <w:p w14:paraId="47A84729" w14:textId="77777777" w:rsidR="00264A18" w:rsidRDefault="00264A18" w:rsidP="00264A18">
      <w:pPr>
        <w:pStyle w:val="normal0"/>
        <w:spacing w:line="360" w:lineRule="auto"/>
        <w:ind w:firstLine="720"/>
        <w:rPr>
          <w:rFonts w:ascii="Times" w:hAnsi="Times"/>
          <w:sz w:val="24"/>
        </w:rPr>
      </w:pPr>
    </w:p>
    <w:p w14:paraId="03477ACB" w14:textId="77777777" w:rsidR="00162C71"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Elevated expression of antioxidant response proteins (two isoforms of glutathione S-transferase Ω-1) and cytochrome P450 1A5, which produces ROS, provided further evidence of increased oxidative metabolism.  The cellular need for an antioxidant response could arise from greater ROS generation during increased metabolism </w:t>
      </w:r>
      <w:r w:rsidRPr="00162C71">
        <w:rPr>
          <w:rFonts w:ascii="Times" w:hAnsi="Times"/>
          <w:sz w:val="24"/>
        </w:rPr>
        <w:fldChar w:fldCharType="begin" w:fldLock="1"/>
      </w:r>
      <w:r w:rsidRPr="00162C71">
        <w:rPr>
          <w:rFonts w:ascii="Times" w:hAnsi="Times"/>
          <w:sz w:val="24"/>
        </w:rPr>
        <w:instrText>ADDIN CSL_CITATION { "citationItems" : [ { "id" : "ITEM-1", "itemData" : { "author" : [ { "dropping-particle" : "", "family" : "Mohanty", "given" : "Priya", "non-dropping-particle" : "", "parse-names" : false, "suffix" : "" }, { "dropping-particle" : "", "family" : "Hamouda", "given" : "Wael", "non-dropping-particle" : "", "parse-names" : false, "suffix" : "" }, { "dropping-particle" : "", "family" : "Garg", "given" : "Rajesh", "non-dropping-particle" : "", "parse-names" : false, "suffix" : "" }, { "dropping-particle" : "", "family" : "Aljada", "given" : "Ahmad", "non-dropping-particle" : "", "parse-names" : false, "suffix" : "" }, { "dropping-particle" : "", "family" : "Ghanim", "given" : "Husam", "non-dropping-particle" : "", "parse-names" : false, "suffix" : "" }, { "dropping-particle" : "", "family" : "Dandona", "given" : "Paresh", "non-dropping-particle" : "", "parse-names" : false, "suffix" : "" } ], "container-title" : "The Journal of Clinical Endocrinology and Metabolism", "id" : "ITEM-1", "issue" : "8", "issued" : { "date-parts" : [ [ "2000" ] ] }, "page" : "2970-2973", "title" : "Glucose challenge stimulates reactive oxygen species (ROS) generation by leucocytes", "type" : "article-journal", "volume" : "85" }, "uris" : [ "http://www.mendeley.com/documents/?uuid=105e80dd-b140-4996-bdfa-a2c630d0c979" ] } ], "mendeley" : { "previouslyFormattedCitation" : "(Mohanty et al., 2000)"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(Mohanty et al., 2000)</w:t>
      </w:r>
      <w:r w:rsidRPr="00162C71">
        <w:rPr>
          <w:rFonts w:ascii="Times" w:hAnsi="Times"/>
          <w:sz w:val="24"/>
        </w:rPr>
        <w:fldChar w:fldCharType="end"/>
      </w:r>
      <w:r w:rsidRPr="00162C71">
        <w:rPr>
          <w:rFonts w:ascii="Times" w:hAnsi="Times"/>
          <w:sz w:val="24"/>
        </w:rPr>
        <w:t xml:space="preserve"> or ocean acidification may directly lead to oxidative stress through elevated cellular CO</w:t>
      </w:r>
      <w:r w:rsidRPr="00162C71">
        <w:rPr>
          <w:rFonts w:ascii="Times" w:hAnsi="Times"/>
          <w:sz w:val="24"/>
          <w:vertAlign w:val="subscript"/>
        </w:rPr>
        <w:t>2</w:t>
      </w:r>
      <w:r w:rsidRPr="00162C71">
        <w:rPr>
          <w:rFonts w:ascii="Times" w:hAnsi="Times"/>
          <w:sz w:val="24"/>
        </w:rPr>
        <w:t xml:space="preserve"> and H</w:t>
      </w:r>
      <w:r w:rsidRPr="00162C71">
        <w:rPr>
          <w:rFonts w:ascii="Times" w:hAnsi="Times"/>
          <w:sz w:val="24"/>
          <w:vertAlign w:val="superscript"/>
        </w:rPr>
        <w:t>+</w:t>
      </w:r>
      <w:r w:rsidRPr="00162C71">
        <w:rPr>
          <w:rFonts w:ascii="Times" w:hAnsi="Times"/>
          <w:sz w:val="24"/>
        </w:rPr>
        <w:t xml:space="preserve"> </w:t>
      </w:r>
      <w:r w:rsidRPr="00162C71">
        <w:rPr>
          <w:rFonts w:ascii="Times" w:hAnsi="Times"/>
          <w:sz w:val="24"/>
        </w:rPr>
        <w:fldChar w:fldCharType="begin" w:fldLock="1"/>
      </w:r>
      <w:r w:rsidRPr="00162C71">
        <w:rPr>
          <w:rFonts w:ascii="Times" w:hAnsi="Times"/>
          <w:sz w:val="24"/>
        </w:rPr>
        <w:instrText>ADDIN CSL_CITATION { "citationItems" : [ { "id" : "ITEM-1", "itemData" : { "DOI" : "10.1152/japplphysiol.01337.2009.", "author" : [ { "dropping-particle" : "", "family" : "Dean", "given" : "Jay B", "non-dropping-particle" : "", "parse-names" : false, "suffix" : "" } ], "id" : "ITEM-1", "issued" : { "date-parts" : [ [ "2010" ] ] }, "page" : "1786-1795", "title" : "Hypercapnia causes cellular oxidation and nitrosation in addition to acidosis : implications for CO 2 chemoreceptor function and dysfunction", "type" : "article-journal" }, "uris" : [ "http://www.mendeley.com/documents/?uuid=370872bc-2bb1-43e2-8414-199bcd433f14" ] }, { "id" : "ITEM-2",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"ITEM-2",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"(Dean, 2010; Tomanek et al., 2011)", "previouslyFormattedCitation" : "(Dean, 2010; Tomanek et al., 2011)"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(Dean, 2010; Tomanek et al., 2011)</w:t>
      </w:r>
      <w:r w:rsidRPr="00162C71">
        <w:rPr>
          <w:rFonts w:ascii="Times" w:hAnsi="Times"/>
          <w:sz w:val="24"/>
        </w:rPr>
        <w:fldChar w:fldCharType="end"/>
      </w:r>
      <w:r w:rsidRPr="00162C71">
        <w:rPr>
          <w:rFonts w:ascii="Times" w:hAnsi="Times"/>
          <w:sz w:val="24"/>
        </w:rPr>
        <w:t xml:space="preserve">.  Perhaps as a result of increased oxidative stress, the apoptotic response was also elevated.  Nucleoside diphosphate kinase homolog 5, a protein that prevents apoptosis, was expressed at lower levels at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Additionally, autophagy was increased through the relatively greater expression of CDGSH iron-sulfur domain-containing protein 2.  Evidence of oxidative stress at the protein/gene level </w:t>
      </w:r>
      <w:r w:rsidRPr="00162C71">
        <w:rPr>
          <w:rFonts w:ascii="Times" w:hAnsi="Times"/>
          <w:sz w:val="24"/>
        </w:rPr>
        <w:fldChar w:fldCharType="begin" w:fldLock="1"/>
      </w:r>
      <w:r w:rsidRPr="00162C71">
        <w:rPr>
          <w:rFonts w:ascii="Times" w:hAnsi="Times"/>
          <w:sz w:val="24"/>
        </w:rP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"previouslyFormattedCitation" : "(Tomanek et al., 2011)"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(Tomanek et al., 2011;</w:t>
      </w:r>
      <w:r w:rsidRPr="00162C71">
        <w:rPr>
          <w:rFonts w:ascii="Times" w:hAnsi="Times"/>
          <w:sz w:val="24"/>
        </w:rPr>
        <w:fldChar w:fldCharType="end"/>
      </w:r>
      <w:r w:rsidRPr="00162C71">
        <w:rPr>
          <w:rFonts w:ascii="Times" w:hAnsi="Times"/>
          <w:sz w:val="24"/>
        </w:rPr>
        <w:t xml:space="preserve"> </w:t>
      </w:r>
      <w:r w:rsidRPr="00162C71">
        <w:rPr>
          <w:rFonts w:ascii="Times" w:hAnsi="Times"/>
          <w:sz w:val="24"/>
        </w:rPr>
        <w:fldChar w:fldCharType="begin" w:fldLock="1"/>
      </w:r>
      <w:r w:rsidRPr="00162C71">
        <w:rPr>
          <w:rFonts w:ascii="Times" w:hAnsi="Times"/>
          <w:sz w:val="24"/>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Kaniewska et al., 2012</w:t>
      </w:r>
      <w:r w:rsidRPr="00162C71">
        <w:rPr>
          <w:rFonts w:ascii="Times" w:hAnsi="Times"/>
          <w:sz w:val="24"/>
        </w:rPr>
        <w:fldChar w:fldCharType="end"/>
      </w:r>
      <w:r w:rsidRPr="00162C71">
        <w:rPr>
          <w:rFonts w:ascii="Times" w:hAnsi="Times"/>
          <w:sz w:val="24"/>
        </w:rPr>
        <w:fldChar w:fldCharType="begin" w:fldLock="1"/>
      </w:r>
      <w:r w:rsidRPr="00162C71">
        <w:rPr>
          <w:rFonts w:ascii="Times" w:hAnsi="Times"/>
          <w:sz w:val="24"/>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 Clark et al., 2013)</w:t>
      </w:r>
      <w:r w:rsidRPr="00162C71">
        <w:rPr>
          <w:rFonts w:ascii="Times" w:hAnsi="Times"/>
          <w:sz w:val="24"/>
        </w:rPr>
        <w:fldChar w:fldCharType="end"/>
      </w:r>
      <w:r w:rsidRPr="00162C71">
        <w:rPr>
          <w:rFonts w:ascii="Times" w:hAnsi="Times"/>
          <w:sz w:val="24"/>
        </w:rPr>
        <w:t xml:space="preserve"> as well as apoptosis (Todgham and Hofmann 2009; Kaniewska et al. 2012) was also observed in other invertebrates exposed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The findings in this and in previous studies support the universal occurrence of increased oxidative stress during invertebrate exposure to ocean acidification.</w:t>
      </w:r>
    </w:p>
    <w:p w14:paraId="717CACB5" w14:textId="683E6588" w:rsidR="00264A18" w:rsidRPr="00162C71" w:rsidRDefault="00162C71" w:rsidP="00162C71">
      <w:pPr>
        <w:pStyle w:val="normal0"/>
        <w:spacing w:line="360" w:lineRule="auto"/>
        <w:ind w:firstLine="720"/>
        <w:rPr>
          <w:rFonts w:ascii="Times" w:hAnsi="Times"/>
          <w:sz w:val="24"/>
        </w:rPr>
      </w:pPr>
      <w:r w:rsidRPr="00162C71">
        <w:rPr>
          <w:rFonts w:ascii="Times" w:hAnsi="Times"/>
          <w:sz w:val="24"/>
        </w:rPr>
        <w:t xml:space="preserve">In the current study, a broad-scale increase in expression of chaperones and stress response proteins was observed (heat shock 70 kDa protein 4, HSP90 co-chaperone Cdc37, universal stress protein A-like protein, Hsc70-interacting protein, universal stress protein MSMEG_3950, and stress-induced-phosphoprotein 1), providing further evidence of increased cellular stress and damage during ocean acidification exposure.  These results contrast with other studies, which generally report decreased expression of cell stress proteins and genes in response to ocean acidification </w:t>
      </w:r>
      <w:r w:rsidRPr="00162C71">
        <w:rPr>
          <w:rFonts w:ascii="Times" w:hAnsi="Times"/>
          <w:sz w:val="24"/>
        </w:rPr>
        <w:fldChar w:fldCharType="begin" w:fldLock="1"/>
      </w:r>
      <w:r w:rsidRPr="00162C71">
        <w:rPr>
          <w:rFonts w:ascii="Times" w:hAnsi="Times"/>
          <w:sz w:val="24"/>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"id" : "ITEM-2",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"ITEM-2", "issue" : "3", "issued" : { "date-parts" : [ [ "2011", "9" ] ] }, "page" : "310-21", "publisher" : "Elsevier Inc.", "title" : "Response of larval barnacle proteome to CO(2)-driven seawater acidification.", "type" : "article-journal", "volume" : "6" }, "uris" : [ "http://www.mendeley.com/documents/?uuid=e4598cec-fd29-45a8-91ba-7f11e97795cf" ] }, { "id" : "ITEM-3",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"ITEM-3", "issue" : "4", "issued" : { "date-parts" : [ [ "2012", "1" ] ] }, "page" : "e34659", "title" : "Major cellular and physiological impacts of ocean acidification on a reef building coral.", "type" : "article-journal", "volume" : "7" }, "uris" : [ "http://www.mendeley.com/documents/?uuid=a4472007-1317-48b8-af49-32594d1c1967" ] } ], "mendeley" : { "manualFormatting" : "(Kaniewska et al., 2012; Todgham and Hofmann, 2009; Wong et al., 2011)", "previouslyFormattedCitation" : "(Kaniewska et al., 2012; Todgham &amp; Hofmann, 2009; Wong et al., 2011)"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(Kaniewska et al., 2012; Todgham and Hofmann, 2009; Wong et al., 2011)</w:t>
      </w:r>
      <w:r w:rsidRPr="00162C71">
        <w:rPr>
          <w:rFonts w:ascii="Times" w:hAnsi="Times"/>
          <w:sz w:val="24"/>
        </w:rPr>
        <w:fldChar w:fldCharType="end"/>
      </w:r>
      <w:r w:rsidRPr="00162C71">
        <w:rPr>
          <w:rFonts w:ascii="Times" w:hAnsi="Times"/>
          <w:sz w:val="24"/>
        </w:rPr>
        <w:t xml:space="preserve">, however increased expression of hsp70 was reported in </w:t>
      </w:r>
      <w:r w:rsidRPr="00162C71">
        <w:rPr>
          <w:rFonts w:ascii="Times" w:hAnsi="Times"/>
          <w:i/>
          <w:sz w:val="24"/>
        </w:rPr>
        <w:t>C. gigas</w:t>
      </w:r>
      <w:r w:rsidRPr="00162C71">
        <w:rPr>
          <w:rFonts w:ascii="Times" w:hAnsi="Times"/>
          <w:sz w:val="24"/>
        </w:rPr>
        <w:t xml:space="preserve"> </w:t>
      </w:r>
      <w:r w:rsidRPr="00162C71">
        <w:rPr>
          <w:rFonts w:ascii="Times" w:hAnsi="Times"/>
          <w:sz w:val="24"/>
        </w:rPr>
        <w:fldChar w:fldCharType="begin" w:fldLock="1"/>
      </w:r>
      <w:r w:rsidRPr="00162C71">
        <w:rPr>
          <w:rFonts w:ascii="Times" w:hAnsi="Times"/>
          <w:sz w:val="24"/>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(Clark et al., 2013)</w:t>
      </w:r>
      <w:r w:rsidRPr="00162C71">
        <w:rPr>
          <w:rFonts w:ascii="Times" w:hAnsi="Times"/>
          <w:sz w:val="24"/>
        </w:rPr>
        <w:fldChar w:fldCharType="end"/>
      </w:r>
      <w:r w:rsidRPr="00162C71">
        <w:rPr>
          <w:rFonts w:ascii="Times" w:hAnsi="Times"/>
          <w:sz w:val="24"/>
        </w:rPr>
        <w:t xml:space="preserve">.  Some of these discrepancies among studies may be due to differences in life stage, tissue type, amount of food available, or equilibrium among transcription, translation, and post-translational modifications.  It is clear that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impacts the cellular stress response, but likely in a manner that addresses the changing physiological needs of the organism.</w:t>
      </w:r>
    </w:p>
    <w:p w14:paraId="56FA98A9" w14:textId="77777777" w:rsidR="00264A18" w:rsidRPr="00264A18" w:rsidRDefault="00264A18" w:rsidP="00264A18">
      <w:pPr>
        <w:pStyle w:val="Heading4"/>
      </w:pPr>
      <w:r w:rsidRPr="00264A18">
        <w:t>DNA repair, transcription, and translation</w:t>
      </w:r>
    </w:p>
    <w:p w14:paraId="1DBEDC51" w14:textId="77777777" w:rsidR="00264A18" w:rsidRDefault="00264A18" w:rsidP="00264A18">
      <w:pPr>
        <w:pStyle w:val="normal0"/>
        <w:spacing w:line="360" w:lineRule="auto"/>
        <w:rPr>
          <w:rFonts w:ascii="Times" w:hAnsi="Times"/>
          <w:sz w:val="24"/>
        </w:rPr>
      </w:pPr>
    </w:p>
    <w:p w14:paraId="3E9244D7" w14:textId="77777777" w:rsidR="00162C71" w:rsidRPr="00162C71" w:rsidRDefault="00264A18" w:rsidP="00162C71">
      <w:pPr>
        <w:pStyle w:val="normal0"/>
        <w:spacing w:line="360" w:lineRule="auto"/>
        <w:rPr>
          <w:rFonts w:ascii="Times" w:hAnsi="Times"/>
          <w:sz w:val="24"/>
        </w:rPr>
      </w:pPr>
      <w:r w:rsidRPr="00264A18">
        <w:rPr>
          <w:rFonts w:ascii="Times" w:hAnsi="Times"/>
          <w:sz w:val="24"/>
        </w:rPr>
        <w:tab/>
      </w:r>
      <w:r w:rsidR="00162C71" w:rsidRPr="00162C71">
        <w:rPr>
          <w:rFonts w:ascii="Times" w:hAnsi="Times"/>
          <w:sz w:val="24"/>
        </w:rPr>
        <w:t xml:space="preserve">There were widespread changes in proteins involved in DNA repair, transcription, and translation in oysters exposed to elevated </w:t>
      </w:r>
      <w:r w:rsidR="00162C71" w:rsidRPr="00162C71">
        <w:rPr>
          <w:rFonts w:ascii="Times" w:hAnsi="Times"/>
          <w:i/>
          <w:sz w:val="24"/>
        </w:rPr>
        <w:t>p</w:t>
      </w:r>
      <w:r w:rsidR="00162C71" w:rsidRPr="00162C71">
        <w:rPr>
          <w:rFonts w:ascii="Times" w:hAnsi="Times"/>
          <w:sz w:val="24"/>
        </w:rPr>
        <w:t>CO</w:t>
      </w:r>
      <w:r w:rsidR="00162C71" w:rsidRPr="00162C71">
        <w:rPr>
          <w:rFonts w:ascii="Times" w:hAnsi="Times"/>
          <w:sz w:val="24"/>
          <w:vertAlign w:val="subscript"/>
        </w:rPr>
        <w:t>2</w:t>
      </w:r>
      <w:r w:rsidR="00162C71" w:rsidRPr="00162C71">
        <w:rPr>
          <w:rFonts w:ascii="Times" w:hAnsi="Times"/>
          <w:sz w:val="24"/>
        </w:rPr>
        <w:t xml:space="preserve">, illustrating a significant molecular response to the physiological effects of ocean acidification.  At the nucleotide level, changes in protein expression included decreased nucleoside metabolism (purine nucleoside phosphorylase) and differential expression of proteins associated with nucleotide metabolism (nicotinamide riboside kinase 1 and adenylosuccinate lyase).  Concurrently, DNA repair proteins were expressed at lower levels in high </w:t>
      </w:r>
      <w:r w:rsidR="00162C71" w:rsidRPr="00162C71">
        <w:rPr>
          <w:rFonts w:ascii="Times" w:hAnsi="Times"/>
          <w:i/>
          <w:sz w:val="24"/>
        </w:rPr>
        <w:t>p</w:t>
      </w:r>
      <w:r w:rsidR="00162C71" w:rsidRPr="00162C71">
        <w:rPr>
          <w:rFonts w:ascii="Times" w:hAnsi="Times"/>
          <w:sz w:val="24"/>
        </w:rPr>
        <w:t>CO</w:t>
      </w:r>
      <w:r w:rsidR="00162C71" w:rsidRPr="00162C71">
        <w:rPr>
          <w:rFonts w:ascii="Times" w:hAnsi="Times"/>
          <w:sz w:val="24"/>
          <w:vertAlign w:val="subscript"/>
        </w:rPr>
        <w:t>2</w:t>
      </w:r>
      <w:r w:rsidR="00162C71" w:rsidRPr="00162C71">
        <w:rPr>
          <w:rFonts w:ascii="Times" w:hAnsi="Times"/>
          <w:sz w:val="24"/>
        </w:rPr>
        <w:t xml:space="preserve">-exposed oysters (poly [ADP-ribose] polymerase 3, RuvB-like 2, and X-ray repair cross-complementing protein 5), seven cell growth proteins were differentially expressed (three at increased levels: hemicentin-1, thymidine phosphorylase, and tyrosine protein kinase yes), and one DNA synthesis protein had elevated expression (prohibitin).  One hypothesis for this observation is that the decrease in DNA repair proteins coupled with changes in nucleotide metabolism and DNA synthesis may indicate a shift towards cell growth and DNA synthesis over repairing DNA damaged by increased oxidative stress.  </w:t>
      </w:r>
    </w:p>
    <w:p w14:paraId="56708DEB" w14:textId="0C67C62C" w:rsidR="00264A18" w:rsidRPr="00162C71" w:rsidRDefault="00162C71" w:rsidP="00162C71">
      <w:pPr>
        <w:pStyle w:val="normal0"/>
        <w:spacing w:line="360" w:lineRule="auto"/>
        <w:rPr>
          <w:rFonts w:ascii="Times" w:hAnsi="Times"/>
          <w:sz w:val="24"/>
        </w:rPr>
      </w:pPr>
      <w:r w:rsidRPr="00162C71">
        <w:rPr>
          <w:rFonts w:ascii="Times" w:hAnsi="Times"/>
          <w:sz w:val="24"/>
        </w:rPr>
        <w:t xml:space="preserve">Expression of proteins associated with transcription and translation would necessarily change in order to support the myriad other molecular responses to ocean acidification.  The importance of these processes is reflected in the enrichment of proteins associated with transcription in the differentially expressed proteins in response to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mechanical stimulation, and both stressors at once. In ocean acidification-exposed oysters, twenty-two proteins associated with transcription and mRNA processing were differentially expressed.  In terms of protein synthesis and degradation, six proteins associated with amino acid metabolism were differentially expressed: two were expressed at lower levels at in 2800 μatm-exposed oysters (amidohydrolase ytcJ and betaine-homocysteine S-methyltransferase 1) and four had elevated expression (aminoacylase-1, dihydrolipoyl dehydrogenase, glutaryl-CoA dehydrogenase, and C-1-tetrahydrofolate synthase).  Twenty-three proteins involved in protein synthesis and translation were differentially expressed and eleven proteins associated with protein degradation underwent significant changes in expression, including increased expression of two that prevent protein degradation (cystatin-B, ubiquitin caroxyl-terminal hydrolase FAF-X).  In larval sea urchins, genes in associated with translation decreased expression in response to elevated </w:t>
      </w:r>
      <w:r w:rsidRPr="00162C71">
        <w:rPr>
          <w:rFonts w:ascii="Times" w:hAnsi="Times"/>
          <w:i/>
          <w:sz w:val="24"/>
        </w:rPr>
        <w:t>p</w:t>
      </w:r>
      <w:r w:rsidRPr="00162C71">
        <w:rPr>
          <w:rFonts w:ascii="Times" w:hAnsi="Times"/>
          <w:sz w:val="24"/>
        </w:rPr>
        <w:t>CO</w:t>
      </w:r>
      <w:r w:rsidRPr="00162C71">
        <w:rPr>
          <w:rFonts w:ascii="Times" w:hAnsi="Times"/>
          <w:sz w:val="24"/>
          <w:vertAlign w:val="subscript"/>
        </w:rPr>
        <w:t>2</w:t>
      </w:r>
      <w:r w:rsidRPr="00162C71">
        <w:rPr>
          <w:rFonts w:ascii="Times" w:hAnsi="Times"/>
          <w:sz w:val="24"/>
        </w:rPr>
        <w:t xml:space="preserve"> </w:t>
      </w:r>
      <w:r w:rsidRPr="00162C71">
        <w:rPr>
          <w:rFonts w:ascii="Times" w:hAnsi="Times"/>
          <w:sz w:val="24"/>
        </w:rPr>
        <w:fldChar w:fldCharType="begin" w:fldLock="1"/>
      </w:r>
      <w:r w:rsidRPr="00162C71">
        <w:rPr>
          <w:rFonts w:ascii="Times" w:hAnsi="Times"/>
          <w:sz w:val="24"/>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(Todgham and Hofmann, 2009)</w:t>
      </w:r>
      <w:r w:rsidRPr="00162C71">
        <w:rPr>
          <w:rFonts w:ascii="Times" w:hAnsi="Times"/>
          <w:sz w:val="24"/>
        </w:rPr>
        <w:fldChar w:fldCharType="end"/>
      </w:r>
      <w:r w:rsidRPr="00162C71">
        <w:rPr>
          <w:rFonts w:ascii="Times" w:hAnsi="Times"/>
          <w:sz w:val="24"/>
        </w:rPr>
        <w:t xml:space="preserve">, while in larval barnacles and adult </w:t>
      </w:r>
      <w:r w:rsidRPr="00162C71">
        <w:rPr>
          <w:rFonts w:ascii="Times" w:hAnsi="Times"/>
          <w:i/>
          <w:sz w:val="24"/>
        </w:rPr>
        <w:t>C. virginica</w:t>
      </w:r>
      <w:r w:rsidRPr="00162C71">
        <w:rPr>
          <w:rFonts w:ascii="Times" w:hAnsi="Times"/>
          <w:sz w:val="24"/>
        </w:rPr>
        <w:t xml:space="preserve"> these proteins increased expression </w:t>
      </w:r>
      <w:r w:rsidRPr="00162C71">
        <w:rPr>
          <w:rFonts w:ascii="Times" w:hAnsi="Times"/>
          <w:sz w:val="24"/>
        </w:rPr>
        <w:fldChar w:fldCharType="begin" w:fldLock="1"/>
      </w:r>
      <w:r w:rsidRPr="00162C71">
        <w:rPr>
          <w:rFonts w:ascii="Times" w:hAnsi="Times"/>
          <w:sz w:val="24"/>
        </w:rPr>
        <w:instrText>ADDIN CSL_CITATION { "citationItems" : [ { "id" : "ITEM-1",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"ITEM-1", "issue" : "3", "issued" : { "date-parts" : [ [ "2011", "9" ] ] }, "page" : "310-21", "publisher" : "Elsevier Inc.", "title" : "Response of larval barnacle proteome to CO(2)-driven seawater acidification.", "type" : "article-journal", "volume" : "6" }, "uris" : [ "http://www.mendeley.com/documents/?uuid=e4598cec-fd29-45a8-91ba-7f11e97795cf" ] }, { "id" : "ITEM-2",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"ITEM-2",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"previouslyFormattedCitation" : "(Tomanek et al., 2011; Wong et al., 2011)" }, "properties" : { "noteIndex" : 0 }, "schema" : "https://github.com/citation-style-language/schema/raw/master/csl-citation.json" }</w:instrText>
      </w:r>
      <w:r w:rsidRPr="00162C71">
        <w:rPr>
          <w:rFonts w:ascii="Times" w:hAnsi="Times"/>
          <w:sz w:val="24"/>
        </w:rPr>
        <w:fldChar w:fldCharType="separate"/>
      </w:r>
      <w:r w:rsidRPr="00162C71">
        <w:rPr>
          <w:rFonts w:ascii="Times" w:hAnsi="Times"/>
          <w:noProof/>
          <w:sz w:val="24"/>
        </w:rPr>
        <w:t>(Tomanek et al., 2011; Wong et al., 2011)</w:t>
      </w:r>
      <w:r w:rsidRPr="00162C71">
        <w:rPr>
          <w:rFonts w:ascii="Times" w:hAnsi="Times"/>
          <w:sz w:val="24"/>
        </w:rPr>
        <w:fldChar w:fldCharType="end"/>
      </w:r>
      <w:r w:rsidRPr="00162C71">
        <w:rPr>
          <w:rFonts w:ascii="Times" w:hAnsi="Times"/>
          <w:sz w:val="24"/>
        </w:rPr>
        <w:t>.  Transcription and translation are the processes that support all other molecular and phenotypic changes.  The large number of differentially expressed proteins involved in these processes illustrates their integral role in responding to environmental stress.</w:t>
      </w:r>
    </w:p>
    <w:p w14:paraId="3701505B" w14:textId="77777777" w:rsidR="00264A18" w:rsidRPr="00264A18" w:rsidRDefault="00264A18" w:rsidP="00264A18">
      <w:pPr>
        <w:pStyle w:val="normal0"/>
        <w:spacing w:line="360" w:lineRule="auto"/>
        <w:rPr>
          <w:rFonts w:ascii="Times" w:hAnsi="Times"/>
          <w:sz w:val="24"/>
        </w:rPr>
      </w:pPr>
    </w:p>
    <w:p w14:paraId="487480AF" w14:textId="77777777" w:rsidR="00264A18" w:rsidRPr="00264A18" w:rsidRDefault="00264A18" w:rsidP="00264A18">
      <w:pPr>
        <w:pStyle w:val="Heading3"/>
      </w:pPr>
      <w:bookmarkStart w:id="80" w:name="_Toc257278822"/>
      <w:r w:rsidRPr="00264A18">
        <w:t>The effects of pCO</w:t>
      </w:r>
      <w:r w:rsidRPr="00264A18">
        <w:rPr>
          <w:vertAlign w:val="subscript"/>
        </w:rPr>
        <w:t>2</w:t>
      </w:r>
      <w:r w:rsidRPr="00264A18">
        <w:t xml:space="preserve"> on the stress response</w:t>
      </w:r>
      <w:bookmarkEnd w:id="80"/>
    </w:p>
    <w:p w14:paraId="3E16E2E5" w14:textId="77777777" w:rsidR="00264A18" w:rsidRDefault="00264A18" w:rsidP="00264A18">
      <w:pPr>
        <w:pStyle w:val="normal0"/>
        <w:spacing w:line="360" w:lineRule="auto"/>
        <w:ind w:firstLine="720"/>
        <w:rPr>
          <w:rFonts w:ascii="Times" w:hAnsi="Times"/>
          <w:sz w:val="24"/>
        </w:rPr>
      </w:pPr>
    </w:p>
    <w:p w14:paraId="3A48F9AB" w14:textId="77777777" w:rsidR="00162C71" w:rsidRPr="00CA1ED0" w:rsidRDefault="00162C71" w:rsidP="00162C71">
      <w:pPr>
        <w:pStyle w:val="normal0"/>
        <w:spacing w:line="360" w:lineRule="auto"/>
        <w:ind w:firstLine="720"/>
        <w:rPr>
          <w:rFonts w:ascii="Times" w:hAnsi="Times"/>
          <w:sz w:val="24"/>
        </w:rPr>
      </w:pPr>
      <w:r w:rsidRPr="00CA1ED0">
        <w:rPr>
          <w:rFonts w:ascii="Times" w:hAnsi="Times"/>
          <w:sz w:val="24"/>
        </w:rPr>
        <w:t xml:space="preserve">Elevated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alone may be a stressor for many species, but it may also impair the ability to respond to other physical, chemical, or biological stressors.  To investigate the ability of an organism to respond to stressors under ocean acidification conditions, we subjected oysters to mechanical stimulation.  Qualitative differences between the proteomic responses to mechanical stimulation at 400 and 2800 µatm were reflected in the enrichment analysis, which identified differences between treatment groups at the process level.  At 400 µatm, RNA metabolic process, transcription, and gamete generation were enriched in the response to mechanical stimulation.  At 2800 µatm a different set of processes were enriched: polysaccharide biosynthesis, polysaccharide metabolic process, and transcription.  </w:t>
      </w:r>
    </w:p>
    <w:p w14:paraId="1C9EEAC4" w14:textId="77777777" w:rsidR="00162C71" w:rsidRPr="00CA1ED0" w:rsidRDefault="00162C71" w:rsidP="00162C71">
      <w:pPr>
        <w:pStyle w:val="normal0"/>
        <w:spacing w:line="360" w:lineRule="auto"/>
        <w:ind w:firstLine="720"/>
        <w:rPr>
          <w:rFonts w:ascii="Times" w:hAnsi="Times"/>
          <w:sz w:val="24"/>
        </w:rPr>
      </w:pPr>
      <w:r w:rsidRPr="00CA1ED0">
        <w:rPr>
          <w:rFonts w:ascii="Times" w:hAnsi="Times"/>
          <w:sz w:val="24"/>
        </w:rPr>
        <w:t xml:space="preserve">At the metabolic pathway level, there were different proteomic responses to mechanical stimulation between the two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treatments.  At low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(400 µatm) seven proteins involved in carbohydrate metabolism were expressed at higher levels upon mechanical stimulation and seven were expressed at lower levels.  In contrast, at 2800 µatm nine proteins associated with carbohydrate metabolism had increased expression and only four decreased expression after mechanical stimulation.  Specifically, in the mechanically stimulated 2800 µatm-exposed oysters, there was increased expression of proteins that convert stored glycogen into glucose (glycogen debranching enzyme, lysosomal α-glucosidase, and glycogenin-1) as well as proteins involved in gluconeogenesis (glucose-6-phosphate isomerase and serine-pyruvate aminotransferase).  Rapid mobilization of glycogen stores to make glucose is a common physiological response to stress.    In food-stressed rainbow trout an additional handling stress caused a rapid decrease in liver glycogen and increase in plasma glucose </w:t>
      </w:r>
      <w:r w:rsidRPr="00CA1ED0">
        <w:rPr>
          <w:rFonts w:ascii="Times" w:hAnsi="Times"/>
          <w:sz w:val="24"/>
        </w:rPr>
        <w:fldChar w:fldCharType="begin" w:fldLock="1"/>
      </w:r>
      <w:r w:rsidRPr="00CA1ED0">
        <w:rPr>
          <w:rFonts w:ascii="Times" w:hAnsi="Times"/>
          <w:sz w:val="24"/>
        </w:rPr>
        <w:instrText>ADDIN CSL_CITATION { "citationItems" : [ { "id" : "ITEM-1", "itemData" : { "author" : [ { "dropping-particle" : "", "family" : "Vijayan", "given" : "M.M.", "non-dropping-particle" : "", "parse-names" : false, "suffix" : "" }, { "dropping-particle" : "", "family" : "Moon", "given" : "T.W.", "non-dropping-particle" : "", "parse-names" : false, "suffix" : "" } ], "container-title" : "Canadian Journal of Fisheries and Aquatic Sciences", "id" : "ITEM-1", "issued" : { "date-parts" : [ [ "1992" ] ] }, "page" : "2260-2266", "title" : "Acute Handling Stress Alters Hepatic Glycogen Metabolism in Food-Deprived Rainbow Trout (Oncorhynchus mykiss)", "type" : "article-journal", "volume" : "49" }, "uris" : [ "http://www.mendeley.com/documents/?uuid=62760f80-1761-4b7b-b3d2-c1f96fd4fa74" ] } ], "mendeley" : { "previouslyFormattedCitation" : "(Vijayan &amp; Moon, 1992)" }, "properties" : { "noteIndex" : 0 }, "schema" : "https://github.com/citation-style-language/schema/raw/master/csl-citation.json" }</w:instrText>
      </w:r>
      <w:r w:rsidRPr="00CA1ED0">
        <w:rPr>
          <w:rFonts w:ascii="Times" w:hAnsi="Times"/>
          <w:sz w:val="24"/>
        </w:rPr>
        <w:fldChar w:fldCharType="separate"/>
      </w:r>
      <w:r w:rsidRPr="00CA1ED0">
        <w:rPr>
          <w:rFonts w:ascii="Times" w:hAnsi="Times"/>
          <w:noProof/>
          <w:sz w:val="24"/>
        </w:rPr>
        <w:t>(Vijayan &amp; Moon, 1992)</w:t>
      </w:r>
      <w:r w:rsidRPr="00CA1ED0">
        <w:rPr>
          <w:rFonts w:ascii="Times" w:hAnsi="Times"/>
          <w:sz w:val="24"/>
        </w:rPr>
        <w:fldChar w:fldCharType="end"/>
      </w:r>
      <w:r w:rsidRPr="00CA1ED0">
        <w:rPr>
          <w:rFonts w:ascii="Times" w:hAnsi="Times"/>
          <w:sz w:val="24"/>
        </w:rPr>
        <w:t xml:space="preserve">.  The same exogenous stress in oysters held at low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prompted a decrease in expression of proteins associated with carbohydrate metabolism and gluconeogenesis (neutral α-glucosidase AB, glucose-5-phosphate isomerase, and α-N-acetylgalactosaminidase) as well as increased expression of a protein in the glycogen synthesis pathway (putative glycogen [starch] synthase), implying a relatively decreased need for readily available carbohydrate resources.  At both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fewer lipid metabolism proteins were differentially expressed (four differentially expressed proteins at 400 µatm and three at 2800 µatm) compared to carbohydrate metabolism.  Mechanical stimulation is a transient stress and carbohydrates represent a more readily available resource compared to lipids for a short-term response.    The different changes observed in response to mechanical stimulation illustrate that an additional stress at high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necessitated greater resource use and a need to access energy reserves.  Given the resources needed to sustain a response to an environmental stress, this increase in energetic demand could be detrimental.  </w:t>
      </w:r>
    </w:p>
    <w:p w14:paraId="17A12C49" w14:textId="77777777" w:rsidR="00162C71" w:rsidRPr="00CA1ED0" w:rsidRDefault="00162C71" w:rsidP="00162C71">
      <w:pPr>
        <w:pStyle w:val="normal0"/>
        <w:spacing w:line="360" w:lineRule="auto"/>
        <w:ind w:firstLine="720"/>
        <w:rPr>
          <w:rFonts w:ascii="Times" w:hAnsi="Times"/>
          <w:sz w:val="24"/>
        </w:rPr>
      </w:pPr>
      <w:r w:rsidRPr="00CA1ED0">
        <w:rPr>
          <w:rFonts w:ascii="Times" w:hAnsi="Times"/>
          <w:sz w:val="24"/>
        </w:rPr>
        <w:t xml:space="preserve">In contrast to the proteomic response to mechanical stimulation at 400 µatm, oysters from the elevated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treatment had decreased expression of many proteins associated with oxidative metabolism and had a much larger antioxidant response.  Four mitochondrial NADH dehydrogenases were expressed at lower levels after mechanical stimulation in the high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oysters, while at low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three were expressed at higher levels and one was decreased.  Expression levels of cytochrome b-c1 complex, cytochrome c, and cytochrome c oxidase subunit 5B were elevated in the 2800 µatm after mechanical stress (and were not affected at low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These expression changes suggest that at high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mechanical stress caused a decrease in electron supply from NADH to the electron transport chain (ETC) but an increase in the transfer of electrons to the terminal oxidase, while at low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more electrons entered the ETC from NADH.  In marine invertebrates ROS production occurs during forward electron transport (reviewed in </w:t>
      </w:r>
      <w:r w:rsidRPr="00CA1ED0">
        <w:rPr>
          <w:rFonts w:ascii="Times" w:hAnsi="Times"/>
          <w:sz w:val="24"/>
        </w:rPr>
        <w:fldChar w:fldCharType="begin" w:fldLock="1"/>
      </w:r>
      <w:r w:rsidRPr="00CA1ED0">
        <w:rPr>
          <w:rFonts w:ascii="Times" w:hAnsi="Times"/>
          <w:sz w:val="24"/>
        </w:rPr>
        <w:instrText>ADDIN CSL_CITATION { "citationItems" : [ { "id" : "ITEM-1", "itemData" : { "author" : [ { "dropping-particle" : "", "family" : "Abele", "given" : "Doris", "non-dropping-particle" : "", "parse-names" : false, "suffix" : "" }, { "dropping-particle" : "", "family" : "Philipp", "given" : "Eva", "non-dropping-particle" : "", "parse-names" : false, "suffix" : "" }, { "dropping-particle" : "", "family" : "Gonzalez", "given" : "Paula M.", "non-dropping-particle" : "", "parse-names" : false, "suffix" : "" }, { "dropping-particle" : "", "family" : "Puntarulo", "given" : "Susana", "non-dropping-particle" : "", "parse-names" : false, "suffix" : "" } ], "container-title" : "Frontiers in Bioscience", "id" : "ITEM-1", "issued" : { "date-parts" : [ [ "2007" ] ] }, "page" : "933-946", "title" : "Marine invertebrate mitochondria and oxidative stress", "type" : "article-journal", "volume" : "12" }, "uris" : [ "http://www.mendeley.com/documents/?uuid=159a7a67-e165-4691-9792-f435eb5244f5" ] } ], "mendeley" : { "manualFormatting" : "Abele et al., 2007)", "previouslyFormattedCitation" : "(Abele, Philipp, Gonzalez, &amp; Puntarulo, 2007)" }, "properties" : { "noteIndex" : 0 }, "schema" : "https://github.com/citation-style-language/schema/raw/master/csl-citation.json" }</w:instrText>
      </w:r>
      <w:r w:rsidRPr="00CA1ED0">
        <w:rPr>
          <w:rFonts w:ascii="Times" w:hAnsi="Times"/>
          <w:sz w:val="24"/>
        </w:rPr>
        <w:fldChar w:fldCharType="separate"/>
      </w:r>
      <w:r w:rsidRPr="00CA1ED0">
        <w:rPr>
          <w:rFonts w:ascii="Times" w:hAnsi="Times"/>
          <w:noProof/>
          <w:sz w:val="24"/>
        </w:rPr>
        <w:t>Abele et al., 2007)</w:t>
      </w:r>
      <w:r w:rsidRPr="00CA1ED0">
        <w:rPr>
          <w:rFonts w:ascii="Times" w:hAnsi="Times"/>
          <w:sz w:val="24"/>
        </w:rPr>
        <w:fldChar w:fldCharType="end"/>
      </w:r>
      <w:r w:rsidRPr="00CA1ED0">
        <w:rPr>
          <w:rFonts w:ascii="Times" w:hAnsi="Times"/>
          <w:sz w:val="24"/>
        </w:rPr>
        <w:t xml:space="preserve"> and a decrease in electron supply may be a physiological compensation against further ROS production.  Greater oxidative stress at high versus low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was also evidenced by the increased expression of five antioxidant response proteins upon mechanical stimulation at elevated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(glutathione S-transferase (GST) A, GST 3, GST μ 3, thioredoxin domain-containing protein 17, and dual oxidase 2) compared to just one protein at low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(GST Ω-1).  These changes are further evidence that ocean acidification alters the cellular balance between energy resource supply and oxidative stress, especially upon exposure to an additional exogenous stressor.</w:t>
      </w:r>
    </w:p>
    <w:p w14:paraId="1D2CA026" w14:textId="5EBE1CD5" w:rsidR="00162C71" w:rsidRPr="00CA1ED0" w:rsidRDefault="00162C71" w:rsidP="00162C71">
      <w:pPr>
        <w:pStyle w:val="normal0"/>
        <w:spacing w:line="360" w:lineRule="auto"/>
        <w:ind w:firstLine="720"/>
        <w:rPr>
          <w:rFonts w:ascii="Times" w:hAnsi="Times"/>
          <w:sz w:val="24"/>
        </w:rPr>
      </w:pPr>
      <w:r w:rsidRPr="00CA1ED0">
        <w:rPr>
          <w:rFonts w:ascii="Times" w:hAnsi="Times"/>
          <w:sz w:val="24"/>
        </w:rPr>
        <w:t xml:space="preserve">Ocean acidification appears to significantly impact apoptotic and cellular stress responses of oysters exposed to mechanical stress (Figure </w:t>
      </w:r>
      <w:r w:rsidR="00511229">
        <w:rPr>
          <w:rFonts w:ascii="Times" w:hAnsi="Times"/>
          <w:sz w:val="24"/>
        </w:rPr>
        <w:t>III.</w:t>
      </w:r>
      <w:r w:rsidRPr="00CA1ED0">
        <w:rPr>
          <w:rFonts w:ascii="Times" w:hAnsi="Times"/>
          <w:sz w:val="24"/>
        </w:rPr>
        <w:t>S4).</w:t>
      </w:r>
      <w:r w:rsidRPr="00CA1ED0">
        <w:rPr>
          <w:rFonts w:ascii="Times" w:hAnsi="Times"/>
          <w:b/>
          <w:sz w:val="24"/>
        </w:rPr>
        <w:t xml:space="preserve"> </w:t>
      </w:r>
      <w:r w:rsidRPr="00CA1ED0">
        <w:rPr>
          <w:rFonts w:ascii="Times" w:hAnsi="Times"/>
          <w:sz w:val="24"/>
        </w:rPr>
        <w:t xml:space="preserve"> Mechanical stimulation elicited a larger response in apoptosis pathways at 400 µatm with differential expression of five proteins (programmed cell death protein 5, CDGSH iron-sulfur domain-containing protein 2, histidine triad nucleotide-binding protein 1, EF-hand domain-containing protein D2, and programmed cell death protein 6).  At 2800 µatm only two proteins involved in apoptosis were differentially expressed: caspase-7 decreased expression and engulfment cell motility protein 2 increased expression.  Five cell stress response proteins increased expression upon mechanical stimulation in 400 µatm-exposed oysters (protein lethal(2)essential for life, hsp90 co-chaperone Cdc37, Hsc70-interacting protein, and universal stress proteins A-like and MSMEG_3950), while four increased in expression in the 2800 µatm-exposed (Hsp90 co-chaperone Cdc37, MAP kinase-activated protein kinase 2, heat shock 70 kDa protein 12B, and universal stress protein S||1388).  These data suggest that mechanical stress is associated with apoptosis, which would be consistent with cell damage.  However, apoptosis and the cellular stress response follow slightly different trajectories in response to mechanical stimulation at different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perhaps reflecting different resource availability in responding to the cellular damage inflicted by the additional stress.  Changes to the normal apoptotic and stress responses could be detrimental to oysters, highlighting the importance of considering other environmental conditions when examining biological impacts of ocean acidification. </w:t>
      </w:r>
    </w:p>
    <w:p w14:paraId="6475ABD5" w14:textId="54088B0D" w:rsidR="00071B1D" w:rsidRPr="00CA1ED0" w:rsidRDefault="00162C71" w:rsidP="00162C71">
      <w:pPr>
        <w:spacing w:line="360" w:lineRule="auto"/>
        <w:ind w:firstLine="720"/>
        <w:rPr>
          <w:rFonts w:ascii="Times" w:hAnsi="Times"/>
        </w:rPr>
      </w:pPr>
      <w:r w:rsidRPr="00CA1ED0">
        <w:rPr>
          <w:rFonts w:ascii="Times" w:hAnsi="Times"/>
        </w:rPr>
        <w:t xml:space="preserve">Stress from mechanical stimulation impacted expression of proteins involved in many of the processes that were influenced by elevated </w:t>
      </w:r>
      <w:r w:rsidRPr="00CA1ED0">
        <w:rPr>
          <w:rFonts w:ascii="Times" w:hAnsi="Times"/>
          <w:i/>
        </w:rPr>
        <w:t>p</w:t>
      </w:r>
      <w:r w:rsidRPr="00CA1ED0">
        <w:rPr>
          <w:rFonts w:ascii="Times" w:hAnsi="Times"/>
        </w:rPr>
        <w:t>CO</w:t>
      </w:r>
      <w:r w:rsidRPr="00CA1ED0">
        <w:rPr>
          <w:rFonts w:ascii="Times" w:hAnsi="Times"/>
          <w:vertAlign w:val="subscript"/>
        </w:rPr>
        <w:t>2</w:t>
      </w:r>
      <w:r w:rsidRPr="00CA1ED0">
        <w:rPr>
          <w:rFonts w:ascii="Times" w:hAnsi="Times"/>
        </w:rPr>
        <w:t>, further illustrating the potential synergistic impacts of these two stressors on oyster physiology.  Together these protein expression patterns indicate the complex nature of how multiple stressors influence physiology and how exposure to additional stressors (i.e. increased temperature or disease exposure) in combination with ocean acidification could have significant implications for survival and potential for adaptation.</w:t>
      </w:r>
    </w:p>
    <w:p w14:paraId="7A9F1508" w14:textId="43F6C233" w:rsidR="00071B1D" w:rsidRDefault="00071B1D" w:rsidP="00071B1D">
      <w:pPr>
        <w:pStyle w:val="Heading3"/>
      </w:pPr>
      <w:bookmarkStart w:id="81" w:name="_Toc257278823"/>
      <w:r>
        <w:t>Conclusion</w:t>
      </w:r>
      <w:bookmarkEnd w:id="81"/>
    </w:p>
    <w:p w14:paraId="219066E8" w14:textId="77777777" w:rsidR="00C85C10" w:rsidRPr="00C85C10" w:rsidRDefault="00C85C10" w:rsidP="00C85C10"/>
    <w:p w14:paraId="7C09BA8B" w14:textId="61058F9F" w:rsidR="00071B1D" w:rsidRDefault="00CA1ED0" w:rsidP="00071B1D">
      <w:pPr>
        <w:pStyle w:val="normal0"/>
        <w:spacing w:line="360" w:lineRule="auto"/>
        <w:ind w:firstLine="720"/>
        <w:rPr>
          <w:rFonts w:ascii="Times" w:hAnsi="Times"/>
          <w:sz w:val="24"/>
        </w:rPr>
      </w:pPr>
      <w:r w:rsidRPr="00CA1ED0">
        <w:rPr>
          <w:rFonts w:ascii="Times" w:hAnsi="Times"/>
          <w:sz w:val="24"/>
        </w:rPr>
        <w:t xml:space="preserve">Ocean acidification is frequently portrayed as being detrimental to marine calcifiers, but its effects on invertebrates range well beyond changes to the calcification process.  In this study, a wide variety of processes and responses were assessed in the Pacific oyster’s response to elevated </w:t>
      </w:r>
      <w:r w:rsidRPr="00CA1ED0">
        <w:rPr>
          <w:rFonts w:ascii="Times" w:hAnsi="Times"/>
          <w:i/>
          <w:sz w:val="24"/>
        </w:rPr>
        <w:t>p</w:t>
      </w:r>
      <w:r w:rsidRPr="00CA1ED0">
        <w:rPr>
          <w:rFonts w:ascii="Times" w:hAnsi="Times"/>
          <w:sz w:val="24"/>
        </w:rPr>
        <w:t>CO</w:t>
      </w:r>
      <w:r w:rsidRPr="00CA1ED0">
        <w:rPr>
          <w:rFonts w:ascii="Times" w:hAnsi="Times"/>
          <w:sz w:val="24"/>
          <w:vertAlign w:val="subscript"/>
        </w:rPr>
        <w:t xml:space="preserve">2 </w:t>
      </w:r>
      <w:r w:rsidRPr="00CA1ED0">
        <w:rPr>
          <w:rFonts w:ascii="Times" w:hAnsi="Times"/>
          <w:sz w:val="24"/>
        </w:rPr>
        <w:t xml:space="preserve">to better understand the physiological trade-offs that occur during this particular stress response.  Shell growth was not affected by ocean acidification after one month, but elevated </w:t>
      </w:r>
      <w:r w:rsidRPr="00CA1ED0">
        <w:rPr>
          <w:rFonts w:ascii="Times" w:hAnsi="Times"/>
          <w:i/>
          <w:sz w:val="24"/>
        </w:rPr>
        <w:t>p</w:t>
      </w:r>
      <w:r w:rsidRPr="00CA1ED0">
        <w:rPr>
          <w:rFonts w:ascii="Times" w:hAnsi="Times"/>
          <w:sz w:val="24"/>
        </w:rPr>
        <w:t>CO</w:t>
      </w:r>
      <w:r w:rsidRPr="00CA1ED0">
        <w:rPr>
          <w:rFonts w:ascii="Times" w:hAnsi="Times"/>
          <w:sz w:val="24"/>
          <w:vertAlign w:val="subscript"/>
        </w:rPr>
        <w:t xml:space="preserve">2 </w:t>
      </w:r>
      <w:r w:rsidRPr="00CA1ED0">
        <w:rPr>
          <w:rFonts w:ascii="Times" w:hAnsi="Times"/>
          <w:sz w:val="24"/>
        </w:rPr>
        <w:t xml:space="preserve">did affect the integrity of the deposited shell material.  Relative amounts of fatty acids and glycogen content, which are necessary for continued survival and execution of other energy-consuming processes, were also unaltered at elevated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Mortality in response to acute heat shock remained unaffected as well. The proteomic profile of </w:t>
      </w:r>
      <w:r w:rsidRPr="00CA1ED0">
        <w:rPr>
          <w:rFonts w:ascii="Times" w:hAnsi="Times"/>
          <w:i/>
          <w:sz w:val="24"/>
        </w:rPr>
        <w:t>C. gigas</w:t>
      </w:r>
      <w:r w:rsidRPr="00CA1ED0">
        <w:rPr>
          <w:rFonts w:ascii="Times" w:hAnsi="Times"/>
          <w:sz w:val="24"/>
        </w:rPr>
        <w:t xml:space="preserve"> gill tissue was significantly altered by ocean acidification, elucidating the molecular physiological costs of elevated environmental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These changes in proteomic profile suggest that oysters experience shifts in their energy budget as they allocate resources to combat extended exposure to ocean acidification.  From a proteomics perspective, ocean acidification also affected </w:t>
      </w:r>
      <w:r w:rsidRPr="00CA1ED0">
        <w:rPr>
          <w:rFonts w:ascii="Times" w:hAnsi="Times"/>
          <w:i/>
          <w:sz w:val="24"/>
        </w:rPr>
        <w:t>C. gigas</w:t>
      </w:r>
      <w:r w:rsidRPr="00CA1ED0">
        <w:rPr>
          <w:rFonts w:ascii="Times" w:hAnsi="Times"/>
          <w:sz w:val="24"/>
        </w:rPr>
        <w:t xml:space="preserve">’s response to an additional stress event.  Shell integrity and response to a second stress become important in a dynamic environment, and in this way ocean acidification may decrease </w:t>
      </w:r>
      <w:r w:rsidRPr="00CA1ED0">
        <w:rPr>
          <w:rFonts w:ascii="Times" w:hAnsi="Times"/>
          <w:i/>
          <w:sz w:val="24"/>
        </w:rPr>
        <w:t>C. gigas</w:t>
      </w:r>
      <w:r w:rsidRPr="00CA1ED0">
        <w:rPr>
          <w:rFonts w:ascii="Times" w:hAnsi="Times"/>
          <w:sz w:val="24"/>
        </w:rPr>
        <w:t xml:space="preserve"> fitness under chronic exposure.</w:t>
      </w:r>
      <w:r w:rsidR="00264A18" w:rsidRPr="00CA1ED0">
        <w:rPr>
          <w:rFonts w:ascii="Times" w:hAnsi="Times"/>
          <w:sz w:val="24"/>
        </w:rPr>
        <w:br/>
      </w:r>
    </w:p>
    <w:p w14:paraId="5EE4C56D" w14:textId="0976DCEA" w:rsidR="00992A9D" w:rsidRDefault="00992A9D" w:rsidP="00992A9D">
      <w:pPr>
        <w:pStyle w:val="Heading2"/>
      </w:pPr>
      <w:bookmarkStart w:id="82" w:name="_Toc257278824"/>
      <w:r>
        <w:t>Tables</w:t>
      </w:r>
      <w:bookmarkEnd w:id="82"/>
    </w:p>
    <w:p w14:paraId="1C4A842C" w14:textId="77777777" w:rsidR="00992A9D" w:rsidRPr="00992A9D" w:rsidRDefault="00992A9D" w:rsidP="00992A9D"/>
    <w:p w14:paraId="764A8ADA" w14:textId="40FEB53F" w:rsidR="00992A9D" w:rsidRPr="00992A9D" w:rsidRDefault="00992A9D" w:rsidP="00992A9D">
      <w:pPr>
        <w:spacing w:line="360" w:lineRule="auto"/>
        <w:rPr>
          <w:rFonts w:ascii="Times" w:hAnsi="Times"/>
        </w:rPr>
      </w:pPr>
      <w:r>
        <w:rPr>
          <w:rFonts w:ascii="Times" w:hAnsi="Times"/>
        </w:rPr>
        <w:t xml:space="preserve">Table III.1.  </w:t>
      </w:r>
      <w:r w:rsidRPr="006259AF">
        <w:rPr>
          <w:rFonts w:ascii="Times" w:hAnsi="Times"/>
        </w:rPr>
        <w:t>Water chemistry summary data. Mean and ± standard deviation are provided for the 29 day experiment.  Salinity is an average of nineteen measurements and A</w:t>
      </w:r>
      <w:r w:rsidRPr="006259AF">
        <w:rPr>
          <w:rFonts w:ascii="Times" w:hAnsi="Times"/>
          <w:vertAlign w:val="subscript"/>
        </w:rPr>
        <w:t>T</w:t>
      </w:r>
      <w:r w:rsidRPr="006259AF">
        <w:rPr>
          <w:rFonts w:ascii="Times" w:hAnsi="Times"/>
        </w:rPr>
        <w:t xml:space="preserve"> was measured four times.  pH and temperature values are from the continuous monitoring by the DuraFET probe.  pH, temperature, salinity, and A</w:t>
      </w:r>
      <w:r w:rsidRPr="006259AF">
        <w:rPr>
          <w:rFonts w:ascii="Times" w:hAnsi="Times"/>
          <w:vertAlign w:val="subscript"/>
        </w:rPr>
        <w:t>T</w:t>
      </w:r>
      <w:r w:rsidRPr="006259AF">
        <w:rPr>
          <w:rFonts w:ascii="Times" w:hAnsi="Times"/>
        </w:rPr>
        <w:t xml:space="preserve"> were directly measured and all other parameters were calculated using CO</w:t>
      </w:r>
      <w:r w:rsidRPr="006259AF">
        <w:rPr>
          <w:rFonts w:ascii="Times" w:hAnsi="Times"/>
          <w:vertAlign w:val="subscript"/>
        </w:rPr>
        <w:t>2</w:t>
      </w:r>
      <w:r w:rsidRPr="006259AF">
        <w:rPr>
          <w:rFonts w:ascii="Times" w:hAnsi="Times"/>
        </w:rPr>
        <w:t>calc (R</w:t>
      </w:r>
      <w:r>
        <w:rPr>
          <w:rFonts w:ascii="Times" w:hAnsi="Times"/>
        </w:rPr>
        <w:t>obbins et al., 2010).</w:t>
      </w:r>
    </w:p>
    <w:p w14:paraId="3005A938" w14:textId="12706706" w:rsidR="00992A9D" w:rsidRDefault="00992A9D" w:rsidP="00264A18">
      <w:pPr>
        <w:pStyle w:val="Heading2"/>
      </w:pPr>
      <w:r>
        <w:rPr>
          <w:noProof/>
          <w:lang w:eastAsia="en-US"/>
        </w:rPr>
        <w:drawing>
          <wp:inline distT="0" distB="0" distL="0" distR="0" wp14:anchorId="7D2D1F67" wp14:editId="3453CFA4">
            <wp:extent cx="6235831" cy="112014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28">
                      <a:extLst>
                        <a:ext uri="{28A0092B-C50C-407E-A947-70E740481C1C}">
                          <a14:useLocalDpi xmlns:a14="http://schemas.microsoft.com/office/drawing/2010/main" val="0"/>
                        </a:ext>
                      </a:extLst>
                    </a:blip>
                    <a:stretch>
                      <a:fillRect/>
                    </a:stretch>
                  </pic:blipFill>
                  <pic:spPr>
                    <a:xfrm>
                      <a:off x="0" y="0"/>
                      <a:ext cx="6235831" cy="1120140"/>
                    </a:xfrm>
                    <a:prstGeom prst="rect">
                      <a:avLst/>
                    </a:prstGeom>
                  </pic:spPr>
                </pic:pic>
              </a:graphicData>
            </a:graphic>
          </wp:inline>
        </w:drawing>
      </w:r>
    </w:p>
    <w:p w14:paraId="067BFCAB" w14:textId="77777777" w:rsidR="00992A9D" w:rsidRDefault="00992A9D" w:rsidP="00992A9D"/>
    <w:p w14:paraId="632E7FB3" w14:textId="77777777" w:rsidR="00992A9D" w:rsidRDefault="00992A9D" w:rsidP="00992A9D">
      <w:pPr>
        <w:spacing w:line="360" w:lineRule="auto"/>
        <w:rPr>
          <w:rFonts w:ascii="Times" w:hAnsi="Times"/>
        </w:rPr>
      </w:pPr>
    </w:p>
    <w:p w14:paraId="09E5DE68" w14:textId="77777777" w:rsidR="00992A9D" w:rsidRDefault="00992A9D" w:rsidP="00992A9D">
      <w:pPr>
        <w:spacing w:line="360" w:lineRule="auto"/>
        <w:rPr>
          <w:rFonts w:ascii="Times" w:hAnsi="Times"/>
        </w:rPr>
      </w:pPr>
    </w:p>
    <w:p w14:paraId="5291F03B" w14:textId="77777777" w:rsidR="00992A9D" w:rsidRDefault="00992A9D" w:rsidP="00992A9D">
      <w:pPr>
        <w:spacing w:line="360" w:lineRule="auto"/>
        <w:rPr>
          <w:rFonts w:ascii="Times" w:hAnsi="Times"/>
        </w:rPr>
      </w:pPr>
    </w:p>
    <w:p w14:paraId="43B9E6F8" w14:textId="77777777" w:rsidR="00992A9D" w:rsidRDefault="00992A9D" w:rsidP="00992A9D">
      <w:pPr>
        <w:spacing w:line="360" w:lineRule="auto"/>
        <w:rPr>
          <w:rFonts w:ascii="Times" w:hAnsi="Times"/>
        </w:rPr>
      </w:pPr>
    </w:p>
    <w:p w14:paraId="5D98EA3C" w14:textId="50F0E001" w:rsidR="00992A9D" w:rsidRDefault="00992A9D" w:rsidP="00992A9D">
      <w:pPr>
        <w:spacing w:line="360" w:lineRule="auto"/>
        <w:rPr>
          <w:rFonts w:ascii="Times" w:hAnsi="Times"/>
          <w:szCs w:val="22"/>
        </w:rPr>
      </w:pPr>
      <w:r>
        <w:rPr>
          <w:rFonts w:ascii="Times" w:hAnsi="Times"/>
        </w:rPr>
        <w:t xml:space="preserve">Table III.2. </w:t>
      </w:r>
      <w:r>
        <w:rPr>
          <w:rFonts w:ascii="Times" w:hAnsi="Times"/>
          <w:szCs w:val="22"/>
        </w:rPr>
        <w:t>Average buoyant weight ±</w:t>
      </w:r>
      <w:r w:rsidRPr="00B14C1B">
        <w:rPr>
          <w:rFonts w:ascii="Times" w:hAnsi="Times"/>
          <w:szCs w:val="22"/>
        </w:rPr>
        <w:t xml:space="preserve"> 95% confidence intervals at start and end of experiment</w:t>
      </w:r>
      <w:r>
        <w:rPr>
          <w:rFonts w:ascii="Times" w:hAnsi="Times"/>
          <w:szCs w:val="22"/>
        </w:rPr>
        <w:t>.</w:t>
      </w:r>
    </w:p>
    <w:p w14:paraId="7220C823" w14:textId="6EAACCEA" w:rsidR="00992A9D" w:rsidRDefault="00992A9D" w:rsidP="00992A9D">
      <w:pPr>
        <w:spacing w:line="360" w:lineRule="auto"/>
      </w:pPr>
      <w:r>
        <w:rPr>
          <w:noProof/>
          <w:lang w:eastAsia="en-US"/>
        </w:rPr>
        <w:drawing>
          <wp:inline distT="0" distB="0" distL="0" distR="0" wp14:anchorId="298423EC" wp14:editId="50272160">
            <wp:extent cx="2481995" cy="106934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29">
                      <a:extLst>
                        <a:ext uri="{28A0092B-C50C-407E-A947-70E740481C1C}">
                          <a14:useLocalDpi xmlns:a14="http://schemas.microsoft.com/office/drawing/2010/main" val="0"/>
                        </a:ext>
                      </a:extLst>
                    </a:blip>
                    <a:stretch>
                      <a:fillRect/>
                    </a:stretch>
                  </pic:blipFill>
                  <pic:spPr>
                    <a:xfrm>
                      <a:off x="0" y="0"/>
                      <a:ext cx="2482951" cy="1069752"/>
                    </a:xfrm>
                    <a:prstGeom prst="rect">
                      <a:avLst/>
                    </a:prstGeom>
                  </pic:spPr>
                </pic:pic>
              </a:graphicData>
            </a:graphic>
          </wp:inline>
        </w:drawing>
      </w:r>
    </w:p>
    <w:p w14:paraId="69AC01E0" w14:textId="77777777" w:rsidR="00992A9D" w:rsidRDefault="00992A9D" w:rsidP="00992A9D">
      <w:pPr>
        <w:spacing w:line="360" w:lineRule="auto"/>
      </w:pPr>
    </w:p>
    <w:p w14:paraId="083852E5" w14:textId="62F199F4" w:rsidR="00992A9D" w:rsidRDefault="00992A9D" w:rsidP="00992A9D">
      <w:pPr>
        <w:spacing w:line="360" w:lineRule="auto"/>
        <w:rPr>
          <w:rFonts w:ascii="Times" w:hAnsi="Times"/>
          <w:szCs w:val="22"/>
        </w:rPr>
      </w:pPr>
      <w:r>
        <w:rPr>
          <w:rFonts w:ascii="Times" w:hAnsi="Times"/>
        </w:rPr>
        <w:t xml:space="preserve">Table III.3. </w:t>
      </w:r>
      <w:r w:rsidRPr="00183126">
        <w:rPr>
          <w:rFonts w:ascii="Times" w:hAnsi="Times"/>
          <w:szCs w:val="22"/>
        </w:rPr>
        <w:t>Total number of proteins identified for each oyster across all three technical replicates with numbers of proteins for each individual technical replicate in parentheses.  Number of proteins shared among all three technical replicates (with percentage of total) are in the third column.</w:t>
      </w:r>
    </w:p>
    <w:tbl>
      <w:tblPr>
        <w:tblStyle w:val="TableGrid"/>
        <w:tblW w:w="0" w:type="auto"/>
        <w:tblLook w:val="04A0" w:firstRow="1" w:lastRow="0" w:firstColumn="1" w:lastColumn="0" w:noHBand="0" w:noVBand="1"/>
      </w:tblPr>
      <w:tblGrid>
        <w:gridCol w:w="2948"/>
        <w:gridCol w:w="2955"/>
        <w:gridCol w:w="2953"/>
      </w:tblGrid>
      <w:tr w:rsidR="00992A9D" w:rsidRPr="008047DF" w14:paraId="206FB579" w14:textId="77777777" w:rsidTr="007245FE">
        <w:tc>
          <w:tcPr>
            <w:tcW w:w="3192" w:type="dxa"/>
          </w:tcPr>
          <w:p w14:paraId="34354384" w14:textId="77777777" w:rsidR="00992A9D" w:rsidRPr="008047DF" w:rsidRDefault="00992A9D" w:rsidP="007245FE">
            <w:pPr>
              <w:pStyle w:val="normal0"/>
              <w:spacing w:line="360" w:lineRule="auto"/>
              <w:rPr>
                <w:rFonts w:ascii="Times" w:hAnsi="Times"/>
              </w:rPr>
            </w:pPr>
            <w:r w:rsidRPr="008047DF">
              <w:rPr>
                <w:rFonts w:ascii="Times" w:hAnsi="Times"/>
              </w:rPr>
              <w:t>Oyster (pCO</w:t>
            </w:r>
            <w:r w:rsidRPr="008047DF">
              <w:rPr>
                <w:rFonts w:ascii="Times" w:hAnsi="Times"/>
                <w:vertAlign w:val="subscript"/>
              </w:rPr>
              <w:t>2</w:t>
            </w:r>
            <w:r w:rsidRPr="008047DF">
              <w:rPr>
                <w:rFonts w:ascii="Times" w:hAnsi="Times"/>
              </w:rPr>
              <w:t xml:space="preserve"> – biological replicate)</w:t>
            </w:r>
          </w:p>
        </w:tc>
        <w:tc>
          <w:tcPr>
            <w:tcW w:w="3192" w:type="dxa"/>
          </w:tcPr>
          <w:p w14:paraId="7A6BF1E5" w14:textId="77777777" w:rsidR="00992A9D" w:rsidRPr="008047DF" w:rsidRDefault="00992A9D" w:rsidP="007245FE">
            <w:pPr>
              <w:pStyle w:val="normal0"/>
              <w:spacing w:line="360" w:lineRule="auto"/>
              <w:rPr>
                <w:rFonts w:ascii="Times" w:hAnsi="Times"/>
              </w:rPr>
            </w:pPr>
            <w:r w:rsidRPr="008047DF">
              <w:rPr>
                <w:rFonts w:ascii="Times" w:hAnsi="Times"/>
              </w:rPr>
              <w:t>Total Proteins (Technical replicate #1, #2, #3)</w:t>
            </w:r>
          </w:p>
        </w:tc>
        <w:tc>
          <w:tcPr>
            <w:tcW w:w="3192" w:type="dxa"/>
          </w:tcPr>
          <w:p w14:paraId="1A2BE152" w14:textId="77777777" w:rsidR="00992A9D" w:rsidRPr="008047DF" w:rsidRDefault="00992A9D" w:rsidP="007245FE">
            <w:pPr>
              <w:pStyle w:val="normal0"/>
              <w:spacing w:line="360" w:lineRule="auto"/>
              <w:rPr>
                <w:rFonts w:ascii="Times" w:hAnsi="Times"/>
              </w:rPr>
            </w:pPr>
            <w:r w:rsidRPr="008047DF">
              <w:rPr>
                <w:rFonts w:ascii="Times" w:hAnsi="Times"/>
              </w:rPr>
              <w:t>Proteins Across All 3 Replicates (% of Total)</w:t>
            </w:r>
          </w:p>
        </w:tc>
      </w:tr>
      <w:tr w:rsidR="00992A9D" w:rsidRPr="008047DF" w14:paraId="31C9C478" w14:textId="77777777" w:rsidTr="007245FE">
        <w:tc>
          <w:tcPr>
            <w:tcW w:w="3192" w:type="dxa"/>
          </w:tcPr>
          <w:p w14:paraId="78919CA6" w14:textId="77777777" w:rsidR="00992A9D" w:rsidRPr="008047DF" w:rsidRDefault="00992A9D" w:rsidP="007245FE">
            <w:pPr>
              <w:pStyle w:val="normal0"/>
              <w:spacing w:line="360" w:lineRule="auto"/>
              <w:rPr>
                <w:rFonts w:ascii="Times" w:hAnsi="Times"/>
              </w:rPr>
            </w:pPr>
            <w:r w:rsidRPr="008047DF">
              <w:rPr>
                <w:rFonts w:ascii="Times" w:hAnsi="Times"/>
              </w:rPr>
              <w:t>400-1</w:t>
            </w:r>
          </w:p>
        </w:tc>
        <w:tc>
          <w:tcPr>
            <w:tcW w:w="3192" w:type="dxa"/>
          </w:tcPr>
          <w:p w14:paraId="05338744" w14:textId="77777777" w:rsidR="00992A9D" w:rsidRPr="008047DF" w:rsidRDefault="00992A9D" w:rsidP="007245FE">
            <w:pPr>
              <w:pStyle w:val="normal0"/>
              <w:spacing w:line="360" w:lineRule="auto"/>
              <w:rPr>
                <w:rFonts w:ascii="Times" w:hAnsi="Times"/>
              </w:rPr>
            </w:pPr>
            <w:r w:rsidRPr="008047DF">
              <w:rPr>
                <w:rFonts w:ascii="Times" w:hAnsi="Times"/>
              </w:rPr>
              <w:t>882 (869, 871, 873)</w:t>
            </w:r>
          </w:p>
        </w:tc>
        <w:tc>
          <w:tcPr>
            <w:tcW w:w="3192" w:type="dxa"/>
          </w:tcPr>
          <w:p w14:paraId="24D8F207" w14:textId="77777777" w:rsidR="00992A9D" w:rsidRPr="008047DF" w:rsidRDefault="00992A9D" w:rsidP="007245FE">
            <w:pPr>
              <w:pStyle w:val="normal0"/>
              <w:spacing w:line="360" w:lineRule="auto"/>
              <w:rPr>
                <w:rFonts w:ascii="Times" w:hAnsi="Times"/>
              </w:rPr>
            </w:pPr>
            <w:r w:rsidRPr="008047DF">
              <w:rPr>
                <w:rFonts w:ascii="Times" w:hAnsi="Times"/>
              </w:rPr>
              <w:t>853 (96.7%)</w:t>
            </w:r>
          </w:p>
        </w:tc>
      </w:tr>
      <w:tr w:rsidR="00992A9D" w:rsidRPr="008047DF" w14:paraId="48491909" w14:textId="77777777" w:rsidTr="007245FE">
        <w:tc>
          <w:tcPr>
            <w:tcW w:w="3192" w:type="dxa"/>
          </w:tcPr>
          <w:p w14:paraId="248305D7" w14:textId="77777777" w:rsidR="00992A9D" w:rsidRPr="008047DF" w:rsidRDefault="00992A9D" w:rsidP="007245FE">
            <w:pPr>
              <w:pStyle w:val="normal0"/>
              <w:spacing w:line="360" w:lineRule="auto"/>
              <w:rPr>
                <w:rFonts w:ascii="Times" w:hAnsi="Times"/>
              </w:rPr>
            </w:pPr>
            <w:r w:rsidRPr="008047DF">
              <w:rPr>
                <w:rFonts w:ascii="Times" w:hAnsi="Times"/>
              </w:rPr>
              <w:t>400-2</w:t>
            </w:r>
          </w:p>
        </w:tc>
        <w:tc>
          <w:tcPr>
            <w:tcW w:w="3192" w:type="dxa"/>
          </w:tcPr>
          <w:p w14:paraId="5183BF34" w14:textId="77777777" w:rsidR="00992A9D" w:rsidRPr="008047DF" w:rsidRDefault="00992A9D" w:rsidP="007245FE">
            <w:pPr>
              <w:pStyle w:val="normal0"/>
              <w:spacing w:line="360" w:lineRule="auto"/>
              <w:rPr>
                <w:rFonts w:ascii="Times" w:hAnsi="Times"/>
              </w:rPr>
            </w:pPr>
            <w:r w:rsidRPr="008047DF">
              <w:rPr>
                <w:rFonts w:ascii="Times" w:hAnsi="Times"/>
              </w:rPr>
              <w:t>878 (861, 863, 861)</w:t>
            </w:r>
          </w:p>
        </w:tc>
        <w:tc>
          <w:tcPr>
            <w:tcW w:w="3192" w:type="dxa"/>
          </w:tcPr>
          <w:p w14:paraId="464B0D46" w14:textId="77777777" w:rsidR="00992A9D" w:rsidRPr="008047DF" w:rsidRDefault="00992A9D" w:rsidP="007245FE">
            <w:pPr>
              <w:pStyle w:val="normal0"/>
              <w:spacing w:line="360" w:lineRule="auto"/>
              <w:rPr>
                <w:rFonts w:ascii="Times" w:hAnsi="Times"/>
              </w:rPr>
            </w:pPr>
            <w:r w:rsidRPr="008047DF">
              <w:rPr>
                <w:rFonts w:ascii="Times" w:hAnsi="Times"/>
              </w:rPr>
              <w:t>841 (95.8%)</w:t>
            </w:r>
          </w:p>
        </w:tc>
      </w:tr>
      <w:tr w:rsidR="00992A9D" w:rsidRPr="008047DF" w14:paraId="3428C847" w14:textId="77777777" w:rsidTr="007245FE">
        <w:tc>
          <w:tcPr>
            <w:tcW w:w="3192" w:type="dxa"/>
          </w:tcPr>
          <w:p w14:paraId="3752499C" w14:textId="77777777" w:rsidR="00992A9D" w:rsidRPr="008047DF" w:rsidRDefault="00992A9D" w:rsidP="007245FE">
            <w:pPr>
              <w:pStyle w:val="normal0"/>
              <w:spacing w:line="360" w:lineRule="auto"/>
              <w:rPr>
                <w:rFonts w:ascii="Times" w:hAnsi="Times"/>
              </w:rPr>
            </w:pPr>
            <w:r w:rsidRPr="008047DF">
              <w:rPr>
                <w:rFonts w:ascii="Times" w:hAnsi="Times"/>
              </w:rPr>
              <w:t xml:space="preserve">400-3 </w:t>
            </w:r>
          </w:p>
        </w:tc>
        <w:tc>
          <w:tcPr>
            <w:tcW w:w="3192" w:type="dxa"/>
          </w:tcPr>
          <w:p w14:paraId="6ADEA941" w14:textId="77777777" w:rsidR="00992A9D" w:rsidRPr="008047DF" w:rsidRDefault="00992A9D" w:rsidP="007245FE">
            <w:pPr>
              <w:pStyle w:val="normal0"/>
              <w:spacing w:line="360" w:lineRule="auto"/>
              <w:rPr>
                <w:rFonts w:ascii="Times" w:hAnsi="Times"/>
              </w:rPr>
            </w:pPr>
            <w:r w:rsidRPr="008047DF">
              <w:rPr>
                <w:rFonts w:ascii="Times" w:hAnsi="Times"/>
              </w:rPr>
              <w:t>836 (819, 824, 819)</w:t>
            </w:r>
          </w:p>
        </w:tc>
        <w:tc>
          <w:tcPr>
            <w:tcW w:w="3192" w:type="dxa"/>
          </w:tcPr>
          <w:p w14:paraId="7B101CAB" w14:textId="77777777" w:rsidR="00992A9D" w:rsidRPr="008047DF" w:rsidRDefault="00992A9D" w:rsidP="007245FE">
            <w:pPr>
              <w:pStyle w:val="normal0"/>
              <w:spacing w:line="360" w:lineRule="auto"/>
              <w:rPr>
                <w:rFonts w:ascii="Times" w:hAnsi="Times"/>
              </w:rPr>
            </w:pPr>
            <w:r w:rsidRPr="008047DF">
              <w:rPr>
                <w:rFonts w:ascii="Times" w:hAnsi="Times"/>
              </w:rPr>
              <w:t>802 (95.9%)</w:t>
            </w:r>
          </w:p>
        </w:tc>
      </w:tr>
      <w:tr w:rsidR="00992A9D" w:rsidRPr="008047DF" w14:paraId="391765BD" w14:textId="77777777" w:rsidTr="007245FE">
        <w:tc>
          <w:tcPr>
            <w:tcW w:w="3192" w:type="dxa"/>
          </w:tcPr>
          <w:p w14:paraId="1B9824E3" w14:textId="77777777" w:rsidR="00992A9D" w:rsidRPr="008047DF" w:rsidRDefault="00992A9D" w:rsidP="007245FE">
            <w:pPr>
              <w:pStyle w:val="normal0"/>
              <w:spacing w:line="360" w:lineRule="auto"/>
              <w:rPr>
                <w:rFonts w:ascii="Times" w:hAnsi="Times"/>
              </w:rPr>
            </w:pPr>
            <w:r w:rsidRPr="008047DF">
              <w:rPr>
                <w:rFonts w:ascii="Times" w:hAnsi="Times"/>
              </w:rPr>
              <w:t>400-4</w:t>
            </w:r>
          </w:p>
        </w:tc>
        <w:tc>
          <w:tcPr>
            <w:tcW w:w="3192" w:type="dxa"/>
          </w:tcPr>
          <w:p w14:paraId="36CBCAD1" w14:textId="77777777" w:rsidR="00992A9D" w:rsidRPr="008047DF" w:rsidRDefault="00992A9D" w:rsidP="007245FE">
            <w:pPr>
              <w:pStyle w:val="normal0"/>
              <w:spacing w:line="360" w:lineRule="auto"/>
              <w:rPr>
                <w:rFonts w:ascii="Times" w:hAnsi="Times"/>
              </w:rPr>
            </w:pPr>
            <w:r w:rsidRPr="008047DF">
              <w:rPr>
                <w:rFonts w:ascii="Times" w:hAnsi="Times"/>
              </w:rPr>
              <w:t>867 (855, 856, 857)</w:t>
            </w:r>
          </w:p>
        </w:tc>
        <w:tc>
          <w:tcPr>
            <w:tcW w:w="3192" w:type="dxa"/>
          </w:tcPr>
          <w:p w14:paraId="4330902A" w14:textId="77777777" w:rsidR="00992A9D" w:rsidRPr="008047DF" w:rsidRDefault="00992A9D" w:rsidP="007245FE">
            <w:pPr>
              <w:pStyle w:val="normal0"/>
              <w:spacing w:line="360" w:lineRule="auto"/>
              <w:rPr>
                <w:rFonts w:ascii="Times" w:hAnsi="Times"/>
              </w:rPr>
            </w:pPr>
            <w:r w:rsidRPr="008047DF">
              <w:rPr>
                <w:rFonts w:ascii="Times" w:hAnsi="Times"/>
              </w:rPr>
              <w:t>839 (96.8%)</w:t>
            </w:r>
          </w:p>
        </w:tc>
      </w:tr>
      <w:tr w:rsidR="00992A9D" w:rsidRPr="008047DF" w14:paraId="656B8076" w14:textId="77777777" w:rsidTr="007245FE">
        <w:tc>
          <w:tcPr>
            <w:tcW w:w="3192" w:type="dxa"/>
          </w:tcPr>
          <w:p w14:paraId="51A6CC44" w14:textId="77777777" w:rsidR="00992A9D" w:rsidRPr="008047DF" w:rsidRDefault="00992A9D" w:rsidP="007245FE">
            <w:pPr>
              <w:pStyle w:val="normal0"/>
              <w:spacing w:line="360" w:lineRule="auto"/>
              <w:rPr>
                <w:rFonts w:ascii="Times" w:hAnsi="Times"/>
              </w:rPr>
            </w:pPr>
            <w:r w:rsidRPr="008047DF">
              <w:rPr>
                <w:rFonts w:ascii="Times" w:hAnsi="Times"/>
              </w:rPr>
              <w:t>400-MechS1</w:t>
            </w:r>
          </w:p>
        </w:tc>
        <w:tc>
          <w:tcPr>
            <w:tcW w:w="3192" w:type="dxa"/>
          </w:tcPr>
          <w:p w14:paraId="06F726EC" w14:textId="77777777" w:rsidR="00992A9D" w:rsidRPr="008047DF" w:rsidRDefault="00992A9D" w:rsidP="007245FE">
            <w:pPr>
              <w:pStyle w:val="normal0"/>
              <w:spacing w:line="360" w:lineRule="auto"/>
              <w:rPr>
                <w:rFonts w:ascii="Times" w:hAnsi="Times"/>
              </w:rPr>
            </w:pPr>
            <w:r w:rsidRPr="008047DF">
              <w:rPr>
                <w:rFonts w:ascii="Times" w:hAnsi="Times"/>
              </w:rPr>
              <w:t>861 (850, 850, 846)</w:t>
            </w:r>
          </w:p>
        </w:tc>
        <w:tc>
          <w:tcPr>
            <w:tcW w:w="3192" w:type="dxa"/>
          </w:tcPr>
          <w:p w14:paraId="529CD385" w14:textId="77777777" w:rsidR="00992A9D" w:rsidRPr="008047DF" w:rsidRDefault="00992A9D" w:rsidP="007245FE">
            <w:pPr>
              <w:pStyle w:val="normal0"/>
              <w:spacing w:line="360" w:lineRule="auto"/>
              <w:rPr>
                <w:rFonts w:ascii="Times" w:hAnsi="Times"/>
              </w:rPr>
            </w:pPr>
            <w:r w:rsidRPr="008047DF">
              <w:rPr>
                <w:rFonts w:ascii="Times" w:hAnsi="Times"/>
              </w:rPr>
              <w:t>832 (96.6%)</w:t>
            </w:r>
          </w:p>
        </w:tc>
      </w:tr>
      <w:tr w:rsidR="00992A9D" w:rsidRPr="008047DF" w14:paraId="5AE57C98" w14:textId="77777777" w:rsidTr="007245FE">
        <w:tc>
          <w:tcPr>
            <w:tcW w:w="3192" w:type="dxa"/>
          </w:tcPr>
          <w:p w14:paraId="682C2554" w14:textId="77777777" w:rsidR="00992A9D" w:rsidRPr="008047DF" w:rsidRDefault="00992A9D" w:rsidP="007245FE">
            <w:pPr>
              <w:pStyle w:val="normal0"/>
              <w:spacing w:line="360" w:lineRule="auto"/>
              <w:rPr>
                <w:rFonts w:ascii="Times" w:hAnsi="Times"/>
              </w:rPr>
            </w:pPr>
            <w:r w:rsidRPr="008047DF">
              <w:rPr>
                <w:rFonts w:ascii="Times" w:hAnsi="Times"/>
              </w:rPr>
              <w:t>400-MechS2</w:t>
            </w:r>
          </w:p>
        </w:tc>
        <w:tc>
          <w:tcPr>
            <w:tcW w:w="3192" w:type="dxa"/>
          </w:tcPr>
          <w:p w14:paraId="00A0E807" w14:textId="77777777" w:rsidR="00992A9D" w:rsidRPr="008047DF" w:rsidRDefault="00992A9D" w:rsidP="007245FE">
            <w:pPr>
              <w:pStyle w:val="normal0"/>
              <w:spacing w:line="360" w:lineRule="auto"/>
              <w:rPr>
                <w:rFonts w:ascii="Times" w:hAnsi="Times"/>
              </w:rPr>
            </w:pPr>
            <w:r w:rsidRPr="008047DF">
              <w:rPr>
                <w:rFonts w:ascii="Times" w:hAnsi="Times"/>
              </w:rPr>
              <w:t>815 (803, 806, 801)</w:t>
            </w:r>
          </w:p>
        </w:tc>
        <w:tc>
          <w:tcPr>
            <w:tcW w:w="3192" w:type="dxa"/>
          </w:tcPr>
          <w:p w14:paraId="37F20639" w14:textId="77777777" w:rsidR="00992A9D" w:rsidRPr="008047DF" w:rsidRDefault="00992A9D" w:rsidP="007245FE">
            <w:pPr>
              <w:pStyle w:val="normal0"/>
              <w:spacing w:line="360" w:lineRule="auto"/>
              <w:rPr>
                <w:rFonts w:ascii="Times" w:hAnsi="Times"/>
              </w:rPr>
            </w:pPr>
            <w:r w:rsidRPr="008047DF">
              <w:rPr>
                <w:rFonts w:ascii="Times" w:hAnsi="Times"/>
              </w:rPr>
              <w:t>788 (96.7%)</w:t>
            </w:r>
          </w:p>
        </w:tc>
      </w:tr>
      <w:tr w:rsidR="00992A9D" w:rsidRPr="008047DF" w14:paraId="4DBCB6E7" w14:textId="77777777" w:rsidTr="007245FE">
        <w:tc>
          <w:tcPr>
            <w:tcW w:w="3192" w:type="dxa"/>
          </w:tcPr>
          <w:p w14:paraId="30E9A7E4" w14:textId="77777777" w:rsidR="00992A9D" w:rsidRPr="008047DF" w:rsidRDefault="00992A9D" w:rsidP="007245FE">
            <w:pPr>
              <w:pStyle w:val="normal0"/>
              <w:spacing w:line="360" w:lineRule="auto"/>
              <w:rPr>
                <w:rFonts w:ascii="Times" w:hAnsi="Times"/>
              </w:rPr>
            </w:pPr>
            <w:r w:rsidRPr="008047DF">
              <w:rPr>
                <w:rFonts w:ascii="Times" w:hAnsi="Times"/>
              </w:rPr>
              <w:t>400-MechS3</w:t>
            </w:r>
          </w:p>
        </w:tc>
        <w:tc>
          <w:tcPr>
            <w:tcW w:w="3192" w:type="dxa"/>
          </w:tcPr>
          <w:p w14:paraId="0EDA930C" w14:textId="77777777" w:rsidR="00992A9D" w:rsidRPr="008047DF" w:rsidRDefault="00992A9D" w:rsidP="007245FE">
            <w:pPr>
              <w:pStyle w:val="normal0"/>
              <w:spacing w:line="360" w:lineRule="auto"/>
              <w:rPr>
                <w:rFonts w:ascii="Times" w:hAnsi="Times"/>
              </w:rPr>
            </w:pPr>
            <w:r w:rsidRPr="008047DF">
              <w:rPr>
                <w:rFonts w:ascii="Times" w:hAnsi="Times"/>
              </w:rPr>
              <w:t>854 (840, 848, 841)</w:t>
            </w:r>
          </w:p>
        </w:tc>
        <w:tc>
          <w:tcPr>
            <w:tcW w:w="3192" w:type="dxa"/>
          </w:tcPr>
          <w:p w14:paraId="7247F631" w14:textId="77777777" w:rsidR="00992A9D" w:rsidRPr="008047DF" w:rsidRDefault="00992A9D" w:rsidP="007245FE">
            <w:pPr>
              <w:pStyle w:val="normal0"/>
              <w:spacing w:line="360" w:lineRule="auto"/>
              <w:rPr>
                <w:rFonts w:ascii="Times" w:hAnsi="Times"/>
              </w:rPr>
            </w:pPr>
            <w:r w:rsidRPr="008047DF">
              <w:rPr>
                <w:rFonts w:ascii="Times" w:hAnsi="Times"/>
              </w:rPr>
              <w:t>826 (96.7%)</w:t>
            </w:r>
          </w:p>
        </w:tc>
      </w:tr>
      <w:tr w:rsidR="00992A9D" w:rsidRPr="008047DF" w14:paraId="3015B525" w14:textId="77777777" w:rsidTr="007245FE">
        <w:tc>
          <w:tcPr>
            <w:tcW w:w="3192" w:type="dxa"/>
          </w:tcPr>
          <w:p w14:paraId="5BC1948F" w14:textId="77777777" w:rsidR="00992A9D" w:rsidRPr="008047DF" w:rsidRDefault="00992A9D" w:rsidP="007245FE">
            <w:pPr>
              <w:pStyle w:val="normal0"/>
              <w:spacing w:line="360" w:lineRule="auto"/>
              <w:rPr>
                <w:rFonts w:ascii="Times" w:hAnsi="Times"/>
              </w:rPr>
            </w:pPr>
            <w:r w:rsidRPr="008047DF">
              <w:rPr>
                <w:rFonts w:ascii="Times" w:hAnsi="Times"/>
              </w:rPr>
              <w:t>400-MechS4</w:t>
            </w:r>
          </w:p>
        </w:tc>
        <w:tc>
          <w:tcPr>
            <w:tcW w:w="3192" w:type="dxa"/>
          </w:tcPr>
          <w:p w14:paraId="2C6D0738" w14:textId="77777777" w:rsidR="00992A9D" w:rsidRPr="008047DF" w:rsidRDefault="00992A9D" w:rsidP="007245FE">
            <w:pPr>
              <w:pStyle w:val="normal0"/>
              <w:spacing w:line="360" w:lineRule="auto"/>
              <w:rPr>
                <w:rFonts w:ascii="Times" w:hAnsi="Times"/>
              </w:rPr>
            </w:pPr>
            <w:r w:rsidRPr="008047DF">
              <w:rPr>
                <w:rFonts w:ascii="Times" w:hAnsi="Times"/>
              </w:rPr>
              <w:t>862 (842, 850, 848)</w:t>
            </w:r>
          </w:p>
        </w:tc>
        <w:tc>
          <w:tcPr>
            <w:tcW w:w="3192" w:type="dxa"/>
          </w:tcPr>
          <w:p w14:paraId="6DBABDF1" w14:textId="77777777" w:rsidR="00992A9D" w:rsidRPr="008047DF" w:rsidRDefault="00992A9D" w:rsidP="007245FE">
            <w:pPr>
              <w:pStyle w:val="normal0"/>
              <w:spacing w:line="360" w:lineRule="auto"/>
              <w:rPr>
                <w:rFonts w:ascii="Times" w:hAnsi="Times"/>
              </w:rPr>
            </w:pPr>
            <w:r w:rsidRPr="008047DF">
              <w:rPr>
                <w:rFonts w:ascii="Times" w:hAnsi="Times"/>
              </w:rPr>
              <w:t>825 (95.9%)</w:t>
            </w:r>
          </w:p>
        </w:tc>
      </w:tr>
      <w:tr w:rsidR="00992A9D" w:rsidRPr="008047DF" w14:paraId="600D85A0" w14:textId="77777777" w:rsidTr="007245FE">
        <w:tc>
          <w:tcPr>
            <w:tcW w:w="3192" w:type="dxa"/>
          </w:tcPr>
          <w:p w14:paraId="4BD32A2D" w14:textId="77777777" w:rsidR="00992A9D" w:rsidRPr="008047DF" w:rsidRDefault="00992A9D" w:rsidP="007245FE">
            <w:pPr>
              <w:pStyle w:val="normal0"/>
              <w:spacing w:line="360" w:lineRule="auto"/>
              <w:rPr>
                <w:rFonts w:ascii="Times" w:hAnsi="Times"/>
              </w:rPr>
            </w:pPr>
            <w:r w:rsidRPr="008047DF">
              <w:rPr>
                <w:rFonts w:ascii="Times" w:hAnsi="Times"/>
              </w:rPr>
              <w:t>2800-1</w:t>
            </w:r>
          </w:p>
        </w:tc>
        <w:tc>
          <w:tcPr>
            <w:tcW w:w="3192" w:type="dxa"/>
          </w:tcPr>
          <w:p w14:paraId="7F05E31A" w14:textId="77777777" w:rsidR="00992A9D" w:rsidRPr="008047DF" w:rsidRDefault="00992A9D" w:rsidP="007245FE">
            <w:pPr>
              <w:pStyle w:val="normal0"/>
              <w:spacing w:line="360" w:lineRule="auto"/>
              <w:rPr>
                <w:rFonts w:ascii="Times" w:hAnsi="Times"/>
              </w:rPr>
            </w:pPr>
            <w:r w:rsidRPr="008047DF">
              <w:rPr>
                <w:rFonts w:ascii="Times" w:hAnsi="Times"/>
              </w:rPr>
              <w:t>873 (854, 858, 856)</w:t>
            </w:r>
          </w:p>
        </w:tc>
        <w:tc>
          <w:tcPr>
            <w:tcW w:w="3192" w:type="dxa"/>
          </w:tcPr>
          <w:p w14:paraId="1FE645B9" w14:textId="77777777" w:rsidR="00992A9D" w:rsidRPr="008047DF" w:rsidRDefault="00992A9D" w:rsidP="007245FE">
            <w:pPr>
              <w:pStyle w:val="normal0"/>
              <w:spacing w:line="360" w:lineRule="auto"/>
              <w:rPr>
                <w:rFonts w:ascii="Times" w:hAnsi="Times"/>
              </w:rPr>
            </w:pPr>
            <w:r w:rsidRPr="008047DF">
              <w:rPr>
                <w:rFonts w:ascii="Times" w:hAnsi="Times"/>
              </w:rPr>
              <w:t>837 (95.9%)</w:t>
            </w:r>
          </w:p>
        </w:tc>
      </w:tr>
      <w:tr w:rsidR="00992A9D" w:rsidRPr="008047DF" w14:paraId="2CE297B0" w14:textId="77777777" w:rsidTr="007245FE">
        <w:tc>
          <w:tcPr>
            <w:tcW w:w="3192" w:type="dxa"/>
          </w:tcPr>
          <w:p w14:paraId="01CC268B" w14:textId="77777777" w:rsidR="00992A9D" w:rsidRPr="008047DF" w:rsidRDefault="00992A9D" w:rsidP="007245FE">
            <w:pPr>
              <w:pStyle w:val="normal0"/>
              <w:spacing w:line="360" w:lineRule="auto"/>
              <w:rPr>
                <w:rFonts w:ascii="Times" w:hAnsi="Times"/>
              </w:rPr>
            </w:pPr>
            <w:r w:rsidRPr="008047DF">
              <w:rPr>
                <w:rFonts w:ascii="Times" w:hAnsi="Times"/>
              </w:rPr>
              <w:t xml:space="preserve">2800-2 </w:t>
            </w:r>
          </w:p>
        </w:tc>
        <w:tc>
          <w:tcPr>
            <w:tcW w:w="3192" w:type="dxa"/>
          </w:tcPr>
          <w:p w14:paraId="0FEF46B1" w14:textId="77777777" w:rsidR="00992A9D" w:rsidRPr="008047DF" w:rsidRDefault="00992A9D" w:rsidP="007245FE">
            <w:pPr>
              <w:pStyle w:val="normal0"/>
              <w:spacing w:line="360" w:lineRule="auto"/>
              <w:rPr>
                <w:rFonts w:ascii="Times" w:hAnsi="Times"/>
              </w:rPr>
            </w:pPr>
            <w:r w:rsidRPr="008047DF">
              <w:rPr>
                <w:rFonts w:ascii="Times" w:hAnsi="Times"/>
              </w:rPr>
              <w:t>924 (910, 917, 910)</w:t>
            </w:r>
          </w:p>
        </w:tc>
        <w:tc>
          <w:tcPr>
            <w:tcW w:w="3192" w:type="dxa"/>
          </w:tcPr>
          <w:p w14:paraId="69779D83" w14:textId="77777777" w:rsidR="00992A9D" w:rsidRPr="008047DF" w:rsidRDefault="00992A9D" w:rsidP="007245FE">
            <w:pPr>
              <w:pStyle w:val="normal0"/>
              <w:spacing w:line="360" w:lineRule="auto"/>
              <w:rPr>
                <w:rFonts w:ascii="Times" w:hAnsi="Times"/>
              </w:rPr>
            </w:pPr>
            <w:r w:rsidRPr="008047DF">
              <w:rPr>
                <w:rFonts w:ascii="Times" w:hAnsi="Times"/>
              </w:rPr>
              <w:t>894 (96.8%)</w:t>
            </w:r>
          </w:p>
        </w:tc>
      </w:tr>
      <w:tr w:rsidR="00992A9D" w:rsidRPr="008047DF" w14:paraId="24C2E469" w14:textId="77777777" w:rsidTr="007245FE">
        <w:tc>
          <w:tcPr>
            <w:tcW w:w="3192" w:type="dxa"/>
          </w:tcPr>
          <w:p w14:paraId="0BE20066" w14:textId="77777777" w:rsidR="00992A9D" w:rsidRPr="008047DF" w:rsidRDefault="00992A9D" w:rsidP="007245FE">
            <w:pPr>
              <w:pStyle w:val="normal0"/>
              <w:spacing w:line="360" w:lineRule="auto"/>
              <w:rPr>
                <w:rFonts w:ascii="Times" w:hAnsi="Times"/>
              </w:rPr>
            </w:pPr>
            <w:r w:rsidRPr="008047DF">
              <w:rPr>
                <w:rFonts w:ascii="Times" w:hAnsi="Times"/>
              </w:rPr>
              <w:t>2800-3</w:t>
            </w:r>
          </w:p>
        </w:tc>
        <w:tc>
          <w:tcPr>
            <w:tcW w:w="3192" w:type="dxa"/>
          </w:tcPr>
          <w:p w14:paraId="78360B23" w14:textId="77777777" w:rsidR="00992A9D" w:rsidRPr="008047DF" w:rsidRDefault="00992A9D" w:rsidP="007245FE">
            <w:pPr>
              <w:pStyle w:val="normal0"/>
              <w:spacing w:line="360" w:lineRule="auto"/>
              <w:rPr>
                <w:rFonts w:ascii="Times" w:hAnsi="Times"/>
              </w:rPr>
            </w:pPr>
            <w:r w:rsidRPr="008047DF">
              <w:rPr>
                <w:rFonts w:ascii="Times" w:hAnsi="Times"/>
              </w:rPr>
              <w:t>901 (888, 884, 893)</w:t>
            </w:r>
          </w:p>
        </w:tc>
        <w:tc>
          <w:tcPr>
            <w:tcW w:w="3192" w:type="dxa"/>
          </w:tcPr>
          <w:p w14:paraId="4C5645DC" w14:textId="77777777" w:rsidR="00992A9D" w:rsidRPr="008047DF" w:rsidRDefault="00992A9D" w:rsidP="007245FE">
            <w:pPr>
              <w:pStyle w:val="normal0"/>
              <w:spacing w:line="360" w:lineRule="auto"/>
              <w:rPr>
                <w:rFonts w:ascii="Times" w:hAnsi="Times"/>
              </w:rPr>
            </w:pPr>
            <w:r w:rsidRPr="008047DF">
              <w:rPr>
                <w:rFonts w:ascii="Times" w:hAnsi="Times"/>
              </w:rPr>
              <w:t>871 (96.7%)</w:t>
            </w:r>
          </w:p>
        </w:tc>
      </w:tr>
      <w:tr w:rsidR="00992A9D" w:rsidRPr="008047DF" w14:paraId="205E6704" w14:textId="77777777" w:rsidTr="007245FE">
        <w:tc>
          <w:tcPr>
            <w:tcW w:w="3192" w:type="dxa"/>
          </w:tcPr>
          <w:p w14:paraId="63C161AA" w14:textId="77777777" w:rsidR="00992A9D" w:rsidRPr="008047DF" w:rsidRDefault="00992A9D" w:rsidP="007245FE">
            <w:pPr>
              <w:pStyle w:val="normal0"/>
              <w:spacing w:line="360" w:lineRule="auto"/>
              <w:rPr>
                <w:rFonts w:ascii="Times" w:hAnsi="Times"/>
              </w:rPr>
            </w:pPr>
            <w:r w:rsidRPr="008047DF">
              <w:rPr>
                <w:rFonts w:ascii="Times" w:hAnsi="Times"/>
              </w:rPr>
              <w:t>2800-4</w:t>
            </w:r>
          </w:p>
        </w:tc>
        <w:tc>
          <w:tcPr>
            <w:tcW w:w="3192" w:type="dxa"/>
          </w:tcPr>
          <w:p w14:paraId="0CCCA894" w14:textId="77777777" w:rsidR="00992A9D" w:rsidRPr="008047DF" w:rsidRDefault="00992A9D" w:rsidP="007245FE">
            <w:pPr>
              <w:pStyle w:val="normal0"/>
              <w:spacing w:line="360" w:lineRule="auto"/>
              <w:rPr>
                <w:rFonts w:ascii="Times" w:hAnsi="Times"/>
              </w:rPr>
            </w:pPr>
            <w:r w:rsidRPr="008047DF">
              <w:rPr>
                <w:rFonts w:ascii="Times" w:hAnsi="Times"/>
              </w:rPr>
              <w:t>874 (861, 866, 865)</w:t>
            </w:r>
          </w:p>
        </w:tc>
        <w:tc>
          <w:tcPr>
            <w:tcW w:w="3192" w:type="dxa"/>
          </w:tcPr>
          <w:p w14:paraId="226BE5DF" w14:textId="77777777" w:rsidR="00992A9D" w:rsidRPr="008047DF" w:rsidRDefault="00992A9D" w:rsidP="007245FE">
            <w:pPr>
              <w:pStyle w:val="normal0"/>
              <w:spacing w:line="360" w:lineRule="auto"/>
              <w:rPr>
                <w:rFonts w:ascii="Times" w:hAnsi="Times"/>
              </w:rPr>
            </w:pPr>
            <w:r w:rsidRPr="008047DF">
              <w:rPr>
                <w:rFonts w:ascii="Times" w:hAnsi="Times"/>
              </w:rPr>
              <w:t>849 (97.1%)</w:t>
            </w:r>
          </w:p>
        </w:tc>
      </w:tr>
      <w:tr w:rsidR="00992A9D" w:rsidRPr="008047DF" w14:paraId="06B6A89E" w14:textId="77777777" w:rsidTr="007245FE">
        <w:tc>
          <w:tcPr>
            <w:tcW w:w="3192" w:type="dxa"/>
          </w:tcPr>
          <w:p w14:paraId="60A2D779" w14:textId="77777777" w:rsidR="00992A9D" w:rsidRPr="008047DF" w:rsidRDefault="00992A9D" w:rsidP="007245FE">
            <w:pPr>
              <w:pStyle w:val="normal0"/>
              <w:spacing w:line="360" w:lineRule="auto"/>
              <w:rPr>
                <w:rFonts w:ascii="Times" w:hAnsi="Times"/>
              </w:rPr>
            </w:pPr>
            <w:r w:rsidRPr="008047DF">
              <w:rPr>
                <w:rFonts w:ascii="Times" w:hAnsi="Times"/>
              </w:rPr>
              <w:t>2800-MechS1</w:t>
            </w:r>
          </w:p>
        </w:tc>
        <w:tc>
          <w:tcPr>
            <w:tcW w:w="3192" w:type="dxa"/>
          </w:tcPr>
          <w:p w14:paraId="623120AF" w14:textId="77777777" w:rsidR="00992A9D" w:rsidRPr="008047DF" w:rsidRDefault="00992A9D" w:rsidP="007245FE">
            <w:pPr>
              <w:pStyle w:val="normal0"/>
              <w:spacing w:line="360" w:lineRule="auto"/>
              <w:rPr>
                <w:rFonts w:ascii="Times" w:hAnsi="Times"/>
              </w:rPr>
            </w:pPr>
            <w:r w:rsidRPr="008047DF">
              <w:rPr>
                <w:rFonts w:ascii="Times" w:hAnsi="Times"/>
              </w:rPr>
              <w:t>889 (877, 878, 879)</w:t>
            </w:r>
          </w:p>
        </w:tc>
        <w:tc>
          <w:tcPr>
            <w:tcW w:w="3192" w:type="dxa"/>
          </w:tcPr>
          <w:p w14:paraId="11BFD0B7" w14:textId="77777777" w:rsidR="00992A9D" w:rsidRPr="008047DF" w:rsidRDefault="00992A9D" w:rsidP="007245FE">
            <w:pPr>
              <w:pStyle w:val="normal0"/>
              <w:spacing w:line="360" w:lineRule="auto"/>
              <w:rPr>
                <w:rFonts w:ascii="Times" w:hAnsi="Times"/>
              </w:rPr>
            </w:pPr>
            <w:r w:rsidRPr="008047DF">
              <w:rPr>
                <w:rFonts w:ascii="Times" w:hAnsi="Times"/>
              </w:rPr>
              <w:t>858 (96.5%)</w:t>
            </w:r>
          </w:p>
        </w:tc>
      </w:tr>
      <w:tr w:rsidR="00992A9D" w:rsidRPr="008047DF" w14:paraId="03D3168F" w14:textId="77777777" w:rsidTr="007245FE">
        <w:tc>
          <w:tcPr>
            <w:tcW w:w="3192" w:type="dxa"/>
          </w:tcPr>
          <w:p w14:paraId="286F685A" w14:textId="77777777" w:rsidR="00992A9D" w:rsidRPr="008047DF" w:rsidRDefault="00992A9D" w:rsidP="007245FE">
            <w:pPr>
              <w:pStyle w:val="normal0"/>
              <w:spacing w:line="360" w:lineRule="auto"/>
              <w:rPr>
                <w:rFonts w:ascii="Times" w:hAnsi="Times"/>
              </w:rPr>
            </w:pPr>
            <w:r w:rsidRPr="008047DF">
              <w:rPr>
                <w:rFonts w:ascii="Times" w:hAnsi="Times"/>
              </w:rPr>
              <w:t>2800-MechS2</w:t>
            </w:r>
          </w:p>
        </w:tc>
        <w:tc>
          <w:tcPr>
            <w:tcW w:w="3192" w:type="dxa"/>
          </w:tcPr>
          <w:p w14:paraId="55030BF3" w14:textId="77777777" w:rsidR="00992A9D" w:rsidRPr="008047DF" w:rsidRDefault="00992A9D" w:rsidP="007245FE">
            <w:pPr>
              <w:pStyle w:val="normal0"/>
              <w:spacing w:line="360" w:lineRule="auto"/>
              <w:rPr>
                <w:rFonts w:ascii="Times" w:hAnsi="Times"/>
              </w:rPr>
            </w:pPr>
            <w:r w:rsidRPr="008047DF">
              <w:rPr>
                <w:rFonts w:ascii="Times" w:hAnsi="Times"/>
              </w:rPr>
              <w:t>891 (886, 876, 880)</w:t>
            </w:r>
          </w:p>
        </w:tc>
        <w:tc>
          <w:tcPr>
            <w:tcW w:w="3192" w:type="dxa"/>
          </w:tcPr>
          <w:p w14:paraId="70EE5F83" w14:textId="77777777" w:rsidR="00992A9D" w:rsidRPr="008047DF" w:rsidRDefault="00992A9D" w:rsidP="007245FE">
            <w:pPr>
              <w:pStyle w:val="normal0"/>
              <w:spacing w:line="360" w:lineRule="auto"/>
              <w:rPr>
                <w:rFonts w:ascii="Times" w:hAnsi="Times"/>
              </w:rPr>
            </w:pPr>
            <w:r w:rsidRPr="008047DF">
              <w:rPr>
                <w:rFonts w:ascii="Times" w:hAnsi="Times"/>
              </w:rPr>
              <w:t>867 (97.3%)</w:t>
            </w:r>
          </w:p>
        </w:tc>
      </w:tr>
      <w:tr w:rsidR="00992A9D" w:rsidRPr="008047DF" w14:paraId="524F7D85" w14:textId="77777777" w:rsidTr="007245FE">
        <w:tc>
          <w:tcPr>
            <w:tcW w:w="3192" w:type="dxa"/>
          </w:tcPr>
          <w:p w14:paraId="54152A10" w14:textId="77777777" w:rsidR="00992A9D" w:rsidRPr="008047DF" w:rsidRDefault="00992A9D" w:rsidP="007245FE">
            <w:pPr>
              <w:pStyle w:val="normal0"/>
              <w:spacing w:line="360" w:lineRule="auto"/>
              <w:rPr>
                <w:rFonts w:ascii="Times" w:hAnsi="Times"/>
              </w:rPr>
            </w:pPr>
            <w:r w:rsidRPr="008047DF">
              <w:rPr>
                <w:rFonts w:ascii="Times" w:hAnsi="Times"/>
              </w:rPr>
              <w:t>2800-MechS3</w:t>
            </w:r>
          </w:p>
        </w:tc>
        <w:tc>
          <w:tcPr>
            <w:tcW w:w="3192" w:type="dxa"/>
          </w:tcPr>
          <w:p w14:paraId="4AFB97E8" w14:textId="77777777" w:rsidR="00992A9D" w:rsidRPr="008047DF" w:rsidRDefault="00992A9D" w:rsidP="007245FE">
            <w:pPr>
              <w:pStyle w:val="normal0"/>
              <w:spacing w:line="360" w:lineRule="auto"/>
              <w:rPr>
                <w:rFonts w:ascii="Times" w:hAnsi="Times"/>
              </w:rPr>
            </w:pPr>
            <w:r w:rsidRPr="008047DF">
              <w:rPr>
                <w:rFonts w:ascii="Times" w:hAnsi="Times"/>
              </w:rPr>
              <w:t>867 (860, 859, 856)</w:t>
            </w:r>
          </w:p>
        </w:tc>
        <w:tc>
          <w:tcPr>
            <w:tcW w:w="3192" w:type="dxa"/>
          </w:tcPr>
          <w:p w14:paraId="30FF6EEE" w14:textId="77777777" w:rsidR="00992A9D" w:rsidRPr="008047DF" w:rsidRDefault="00992A9D" w:rsidP="007245FE">
            <w:pPr>
              <w:pStyle w:val="normal0"/>
              <w:spacing w:line="360" w:lineRule="auto"/>
              <w:rPr>
                <w:rFonts w:ascii="Times" w:hAnsi="Times"/>
              </w:rPr>
            </w:pPr>
            <w:r w:rsidRPr="008047DF">
              <w:rPr>
                <w:rFonts w:ascii="Times" w:hAnsi="Times"/>
              </w:rPr>
              <w:t>844 (97.3%)</w:t>
            </w:r>
          </w:p>
        </w:tc>
      </w:tr>
      <w:tr w:rsidR="00992A9D" w:rsidRPr="008047DF" w14:paraId="12904F6E" w14:textId="77777777" w:rsidTr="007245FE">
        <w:tc>
          <w:tcPr>
            <w:tcW w:w="3192" w:type="dxa"/>
          </w:tcPr>
          <w:p w14:paraId="4E8F4815" w14:textId="77777777" w:rsidR="00992A9D" w:rsidRPr="008047DF" w:rsidRDefault="00992A9D" w:rsidP="007245FE">
            <w:pPr>
              <w:pStyle w:val="normal0"/>
              <w:spacing w:line="360" w:lineRule="auto"/>
              <w:rPr>
                <w:rFonts w:ascii="Times" w:hAnsi="Times"/>
              </w:rPr>
            </w:pPr>
            <w:r w:rsidRPr="008047DF">
              <w:rPr>
                <w:rFonts w:ascii="Times" w:hAnsi="Times"/>
              </w:rPr>
              <w:t>2800-MechS4</w:t>
            </w:r>
          </w:p>
        </w:tc>
        <w:tc>
          <w:tcPr>
            <w:tcW w:w="3192" w:type="dxa"/>
          </w:tcPr>
          <w:p w14:paraId="69CD35A1" w14:textId="77777777" w:rsidR="00992A9D" w:rsidRPr="008047DF" w:rsidRDefault="00992A9D" w:rsidP="007245FE">
            <w:pPr>
              <w:pStyle w:val="normal0"/>
              <w:spacing w:line="360" w:lineRule="auto"/>
              <w:rPr>
                <w:rFonts w:ascii="Times" w:hAnsi="Times"/>
              </w:rPr>
            </w:pPr>
            <w:r w:rsidRPr="008047DF">
              <w:rPr>
                <w:rFonts w:ascii="Times" w:hAnsi="Times"/>
              </w:rPr>
              <w:t>941 (923, 925, 929)</w:t>
            </w:r>
          </w:p>
        </w:tc>
        <w:tc>
          <w:tcPr>
            <w:tcW w:w="3192" w:type="dxa"/>
          </w:tcPr>
          <w:p w14:paraId="008F3FD4" w14:textId="77777777" w:rsidR="00992A9D" w:rsidRPr="008047DF" w:rsidRDefault="00992A9D" w:rsidP="007245FE">
            <w:pPr>
              <w:pStyle w:val="normal0"/>
              <w:spacing w:line="360" w:lineRule="auto"/>
              <w:rPr>
                <w:rFonts w:ascii="Times" w:hAnsi="Times"/>
              </w:rPr>
            </w:pPr>
            <w:r w:rsidRPr="008047DF">
              <w:rPr>
                <w:rFonts w:ascii="Times" w:hAnsi="Times"/>
              </w:rPr>
              <w:t>905 (96.2%)</w:t>
            </w:r>
          </w:p>
        </w:tc>
      </w:tr>
    </w:tbl>
    <w:p w14:paraId="44BD7B70" w14:textId="77777777" w:rsidR="00992A9D" w:rsidRDefault="00992A9D" w:rsidP="00992A9D">
      <w:pPr>
        <w:spacing w:line="360" w:lineRule="auto"/>
      </w:pPr>
    </w:p>
    <w:p w14:paraId="4543F745" w14:textId="77777777" w:rsidR="00992A9D" w:rsidRDefault="00992A9D" w:rsidP="00992A9D">
      <w:pPr>
        <w:spacing w:line="360" w:lineRule="auto"/>
      </w:pPr>
    </w:p>
    <w:p w14:paraId="5B71DBE8" w14:textId="77777777" w:rsidR="00992A9D" w:rsidRDefault="00992A9D" w:rsidP="00992A9D">
      <w:pPr>
        <w:spacing w:line="360" w:lineRule="auto"/>
      </w:pPr>
    </w:p>
    <w:p w14:paraId="3A0E4087" w14:textId="38A3FEE5" w:rsidR="00992A9D" w:rsidRDefault="00992A9D" w:rsidP="00992A9D">
      <w:pPr>
        <w:pStyle w:val="Heading2"/>
      </w:pPr>
      <w:bookmarkStart w:id="83" w:name="_Toc257278825"/>
      <w:r>
        <w:t>Figures</w:t>
      </w:r>
      <w:bookmarkEnd w:id="83"/>
    </w:p>
    <w:p w14:paraId="4FCE4E70" w14:textId="67C9A417" w:rsidR="00992A9D" w:rsidRDefault="00992A9D" w:rsidP="00992A9D">
      <w:pPr>
        <w:spacing w:line="360" w:lineRule="auto"/>
      </w:pPr>
      <w:r>
        <w:rPr>
          <w:rFonts w:ascii="Times" w:hAnsi="Times"/>
          <w:noProof/>
          <w:lang w:eastAsia="en-US"/>
        </w:rPr>
        <w:drawing>
          <wp:inline distT="0" distB="0" distL="0" distR="0" wp14:anchorId="3DA905F5" wp14:editId="18566EA9">
            <wp:extent cx="3330856" cy="4803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jpg"/>
                    <pic:cNvPicPr/>
                  </pic:nvPicPr>
                  <pic:blipFill>
                    <a:blip r:embed="rId30">
                      <a:extLst>
                        <a:ext uri="{28A0092B-C50C-407E-A947-70E740481C1C}">
                          <a14:useLocalDpi xmlns:a14="http://schemas.microsoft.com/office/drawing/2010/main" val="0"/>
                        </a:ext>
                      </a:extLst>
                    </a:blip>
                    <a:stretch>
                      <a:fillRect/>
                    </a:stretch>
                  </pic:blipFill>
                  <pic:spPr>
                    <a:xfrm>
                      <a:off x="0" y="0"/>
                      <a:ext cx="3330856" cy="4803140"/>
                    </a:xfrm>
                    <a:prstGeom prst="rect">
                      <a:avLst/>
                    </a:prstGeom>
                  </pic:spPr>
                </pic:pic>
              </a:graphicData>
            </a:graphic>
          </wp:inline>
        </w:drawing>
      </w:r>
    </w:p>
    <w:p w14:paraId="0A4DDAFA" w14:textId="77777777" w:rsidR="00992A9D" w:rsidRPr="00963DA1" w:rsidRDefault="00992A9D" w:rsidP="00992A9D">
      <w:pPr>
        <w:pStyle w:val="Default"/>
        <w:spacing w:line="360" w:lineRule="auto"/>
      </w:pPr>
      <w:r w:rsidRPr="00963DA1">
        <w:t xml:space="preserve">Figure III.1. Mean Vickers microhardness and fracture toughness of </w:t>
      </w:r>
      <w:r w:rsidRPr="00963DA1">
        <w:rPr>
          <w:i/>
        </w:rPr>
        <w:t>C. gigas</w:t>
      </w:r>
      <w:r w:rsidRPr="00963DA1">
        <w:t xml:space="preserve"> shells (± 95% C.I.) from 400, 1000, and 2800 µatm, tested within the outer 3 mm of the shell’s growing edge. Groups marked with different letters are significantly different (p &lt; 0.05; n = 5-7 shells per treatment).</w:t>
      </w:r>
    </w:p>
    <w:p w14:paraId="14A7F425" w14:textId="77777777" w:rsidR="00992A9D" w:rsidRDefault="00992A9D" w:rsidP="00992A9D">
      <w:pPr>
        <w:spacing w:line="360" w:lineRule="auto"/>
      </w:pPr>
    </w:p>
    <w:p w14:paraId="67D670C0" w14:textId="62B89BA5" w:rsidR="00992A9D" w:rsidRDefault="00992A9D" w:rsidP="00992A9D">
      <w:pPr>
        <w:spacing w:line="360" w:lineRule="auto"/>
      </w:pPr>
      <w:r>
        <w:rPr>
          <w:noProof/>
          <w:lang w:eastAsia="en-US"/>
        </w:rPr>
        <w:drawing>
          <wp:inline distT="0" distB="0" distL="0" distR="0" wp14:anchorId="5F37FF07" wp14:editId="023F9394">
            <wp:extent cx="3823335" cy="3519769"/>
            <wp:effectExtent l="0" t="0" r="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823335" cy="3519769"/>
                    </a:xfrm>
                    <a:prstGeom prst="rect">
                      <a:avLst/>
                    </a:prstGeom>
                  </pic:spPr>
                </pic:pic>
              </a:graphicData>
            </a:graphic>
          </wp:inline>
        </w:drawing>
      </w:r>
    </w:p>
    <w:p w14:paraId="1272BB72" w14:textId="77777777" w:rsidR="00992A9D" w:rsidRPr="00963DA1" w:rsidRDefault="00992A9D" w:rsidP="00992A9D">
      <w:pPr>
        <w:pStyle w:val="NormalWeb"/>
        <w:spacing w:line="360" w:lineRule="auto"/>
        <w:rPr>
          <w:sz w:val="24"/>
          <w:szCs w:val="24"/>
        </w:rPr>
      </w:pPr>
      <w:r w:rsidRPr="00963DA1">
        <w:rPr>
          <w:sz w:val="24"/>
          <w:szCs w:val="24"/>
        </w:rPr>
        <w:t>Figure III.2. Non-metric multidimensional scaling (NMDS) analysis of fatty acid profiles for oysters from 400, 800 and 2800 µatm.  There are no differences in relative amounts of fatty acids among the three treatment groups.</w:t>
      </w:r>
    </w:p>
    <w:p w14:paraId="3277BAFB" w14:textId="77777777" w:rsidR="00992A9D" w:rsidRDefault="00992A9D" w:rsidP="00992A9D">
      <w:pPr>
        <w:spacing w:line="360" w:lineRule="auto"/>
      </w:pPr>
    </w:p>
    <w:p w14:paraId="1C9EC831" w14:textId="3AD86BD9" w:rsidR="00992A9D" w:rsidRDefault="00992A9D" w:rsidP="00992A9D">
      <w:pPr>
        <w:spacing w:line="360" w:lineRule="auto"/>
      </w:pPr>
      <w:r>
        <w:rPr>
          <w:noProof/>
          <w:lang w:eastAsia="en-US"/>
        </w:rPr>
        <w:drawing>
          <wp:inline distT="0" distB="0" distL="0" distR="0" wp14:anchorId="1BAE440B" wp14:editId="0775162B">
            <wp:extent cx="3582035" cy="324829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32">
                      <a:extLst>
                        <a:ext uri="{28A0092B-C50C-407E-A947-70E740481C1C}">
                          <a14:useLocalDpi xmlns:a14="http://schemas.microsoft.com/office/drawing/2010/main" val="0"/>
                        </a:ext>
                      </a:extLst>
                    </a:blip>
                    <a:stretch>
                      <a:fillRect/>
                    </a:stretch>
                  </pic:blipFill>
                  <pic:spPr>
                    <a:xfrm>
                      <a:off x="0" y="0"/>
                      <a:ext cx="3582271" cy="3248505"/>
                    </a:xfrm>
                    <a:prstGeom prst="rect">
                      <a:avLst/>
                    </a:prstGeom>
                  </pic:spPr>
                </pic:pic>
              </a:graphicData>
            </a:graphic>
          </wp:inline>
        </w:drawing>
      </w:r>
    </w:p>
    <w:p w14:paraId="6A329B2B" w14:textId="77777777" w:rsidR="00992A9D" w:rsidRDefault="00992A9D" w:rsidP="00992A9D">
      <w:pPr>
        <w:spacing w:line="360" w:lineRule="auto"/>
        <w:rPr>
          <w:rFonts w:ascii="Times" w:hAnsi="Times"/>
          <w:szCs w:val="22"/>
        </w:rPr>
      </w:pPr>
      <w:r w:rsidRPr="00A51D89">
        <w:rPr>
          <w:rFonts w:ascii="Times" w:hAnsi="Times"/>
        </w:rPr>
        <w:t xml:space="preserve">Figure </w:t>
      </w:r>
      <w:r>
        <w:rPr>
          <w:rFonts w:ascii="Times" w:hAnsi="Times"/>
        </w:rPr>
        <w:t>III.</w:t>
      </w:r>
      <w:r w:rsidRPr="00A51D89">
        <w:rPr>
          <w:rFonts w:ascii="Times" w:hAnsi="Times"/>
        </w:rPr>
        <w:t xml:space="preserve">3. </w:t>
      </w:r>
      <w:r w:rsidRPr="00963DA1">
        <w:rPr>
          <w:rFonts w:ascii="Times" w:hAnsi="Times"/>
          <w:szCs w:val="22"/>
        </w:rPr>
        <w:t>Oyster mortality after 1 hour heat shock at 43°C (dashed lines) or 44°C (solid lines).</w:t>
      </w:r>
      <w:r w:rsidRPr="00183126">
        <w:rPr>
          <w:rFonts w:ascii="Times" w:hAnsi="Times"/>
          <w:szCs w:val="22"/>
        </w:rPr>
        <w:t xml:space="preserve">  Mortality from heat shock did not differ among groups of oysters exposed to different pCO</w:t>
      </w:r>
      <w:r w:rsidRPr="00183126">
        <w:rPr>
          <w:rFonts w:ascii="Times" w:hAnsi="Times"/>
          <w:szCs w:val="22"/>
          <w:vertAlign w:val="subscript"/>
        </w:rPr>
        <w:t xml:space="preserve">2 </w:t>
      </w:r>
      <w:r w:rsidRPr="00183126">
        <w:rPr>
          <w:rFonts w:ascii="Times" w:hAnsi="Times"/>
          <w:szCs w:val="22"/>
        </w:rPr>
        <w:t>for 1 month - 400 µatm (blue), 800 µatm (green), 1000 µatm (yellow), 2800 µatm (orange).</w:t>
      </w:r>
    </w:p>
    <w:p w14:paraId="47FD6BB6" w14:textId="601A0CE4" w:rsidR="00992A9D" w:rsidRDefault="00992A9D" w:rsidP="00992A9D">
      <w:pPr>
        <w:spacing w:line="360" w:lineRule="auto"/>
      </w:pPr>
      <w:r>
        <w:rPr>
          <w:rFonts w:ascii="Times" w:hAnsi="Times"/>
          <w:noProof/>
          <w:lang w:eastAsia="en-US"/>
        </w:rPr>
        <w:drawing>
          <wp:inline distT="0" distB="0" distL="0" distR="0" wp14:anchorId="626D769F" wp14:editId="067B866C">
            <wp:extent cx="5486400" cy="5648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 plot v2.jpg"/>
                    <pic:cNvPicPr/>
                  </pic:nvPicPr>
                  <pic:blipFill>
                    <a:blip r:embed="rId33">
                      <a:extLst>
                        <a:ext uri="{28A0092B-C50C-407E-A947-70E740481C1C}">
                          <a14:useLocalDpi xmlns:a14="http://schemas.microsoft.com/office/drawing/2010/main" val="0"/>
                        </a:ext>
                      </a:extLst>
                    </a:blip>
                    <a:stretch>
                      <a:fillRect/>
                    </a:stretch>
                  </pic:blipFill>
                  <pic:spPr>
                    <a:xfrm>
                      <a:off x="0" y="0"/>
                      <a:ext cx="5486400" cy="5648325"/>
                    </a:xfrm>
                    <a:prstGeom prst="rect">
                      <a:avLst/>
                    </a:prstGeom>
                  </pic:spPr>
                </pic:pic>
              </a:graphicData>
            </a:graphic>
          </wp:inline>
        </w:drawing>
      </w:r>
    </w:p>
    <w:p w14:paraId="74162E78" w14:textId="77777777" w:rsidR="00992A9D" w:rsidRDefault="00992A9D" w:rsidP="00992A9D">
      <w:pPr>
        <w:spacing w:line="360" w:lineRule="auto"/>
      </w:pPr>
      <w:r>
        <w:rPr>
          <w:rFonts w:ascii="Times" w:hAnsi="Times"/>
        </w:rPr>
        <w:t xml:space="preserve">Figure III.4.  </w:t>
      </w:r>
      <w:r w:rsidRPr="00963DA1">
        <w:rPr>
          <w:rFonts w:ascii="Times" w:hAnsi="Times"/>
          <w:szCs w:val="22"/>
        </w:rPr>
        <w:t>Characterization of protein expression values (log([normalized spectral abundance factor]*10000)) for experiments designed to examine the influence of ocean acidification (A), mechanical stress at 400 µatm (B), and mechanical stress at 2800 µatm (C).</w:t>
      </w:r>
      <w:r w:rsidRPr="00183126">
        <w:rPr>
          <w:rFonts w:ascii="Times" w:hAnsi="Times"/>
          <w:szCs w:val="22"/>
        </w:rPr>
        <w:t xml:space="preserve">  Pink and green dots represent differentially expressed proteins as defined in the methods.</w:t>
      </w:r>
    </w:p>
    <w:p w14:paraId="512ADABC" w14:textId="77777777" w:rsidR="00992A9D" w:rsidRPr="00EF2726" w:rsidRDefault="00992A9D" w:rsidP="00992A9D">
      <w:pPr>
        <w:spacing w:line="360" w:lineRule="auto"/>
      </w:pPr>
    </w:p>
    <w:p w14:paraId="13D1944A" w14:textId="5D15B51A" w:rsidR="00992A9D" w:rsidRDefault="00992A9D" w:rsidP="00992A9D">
      <w:pPr>
        <w:spacing w:line="360" w:lineRule="auto"/>
      </w:pPr>
      <w:r>
        <w:rPr>
          <w:noProof/>
          <w:lang w:eastAsia="en-US"/>
        </w:rPr>
        <w:drawing>
          <wp:inline distT="0" distB="0" distL="0" distR="0" wp14:anchorId="24D18EAC" wp14:editId="165B295D">
            <wp:extent cx="4394835" cy="3395824"/>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old venn.jpg"/>
                    <pic:cNvPicPr/>
                  </pic:nvPicPr>
                  <pic:blipFill>
                    <a:blip r:embed="rId34">
                      <a:extLst>
                        <a:ext uri="{28A0092B-C50C-407E-A947-70E740481C1C}">
                          <a14:useLocalDpi xmlns:a14="http://schemas.microsoft.com/office/drawing/2010/main" val="0"/>
                        </a:ext>
                      </a:extLst>
                    </a:blip>
                    <a:stretch>
                      <a:fillRect/>
                    </a:stretch>
                  </pic:blipFill>
                  <pic:spPr>
                    <a:xfrm>
                      <a:off x="0" y="0"/>
                      <a:ext cx="4394835" cy="3395824"/>
                    </a:xfrm>
                    <a:prstGeom prst="rect">
                      <a:avLst/>
                    </a:prstGeom>
                  </pic:spPr>
                </pic:pic>
              </a:graphicData>
            </a:graphic>
          </wp:inline>
        </w:drawing>
      </w:r>
    </w:p>
    <w:p w14:paraId="54D5829F" w14:textId="26FDAB60" w:rsidR="00992A9D" w:rsidRPr="00992A9D" w:rsidRDefault="00992A9D" w:rsidP="00992A9D">
      <w:pPr>
        <w:spacing w:line="360" w:lineRule="auto"/>
      </w:pPr>
      <w:r>
        <w:t xml:space="preserve">Figure III.5. </w:t>
      </w:r>
      <w:r w:rsidRPr="00963DA1">
        <w:rPr>
          <w:rFonts w:ascii="Times" w:hAnsi="Times"/>
          <w:szCs w:val="22"/>
        </w:rPr>
        <w:t>Differentially expressed proteins among treatments.</w:t>
      </w:r>
      <w:r w:rsidRPr="00183126">
        <w:rPr>
          <w:rFonts w:ascii="Times" w:hAnsi="Times"/>
          <w:szCs w:val="22"/>
        </w:rPr>
        <w:t xml:space="preserve">  The proteins represented by the solid pink ellipse were those implicated in the response to ocean acidification alone, those in the open blue ellipse are different in response to mechanical stress in the 2800 µatm-exposed oysters, and those in the striped aqua ellipse changed in response to mechanical stress at 400 µatm.  Numbers represent the number of proteins in each segment of the ellipses.</w:t>
      </w:r>
    </w:p>
    <w:p w14:paraId="2F57434F" w14:textId="41BE048B" w:rsidR="00264A18" w:rsidRDefault="00264A18" w:rsidP="00264A18">
      <w:pPr>
        <w:pStyle w:val="Heading2"/>
      </w:pPr>
      <w:bookmarkStart w:id="84" w:name="_Toc257278826"/>
      <w:r>
        <w:t>Supplementary Information</w:t>
      </w:r>
      <w:bookmarkEnd w:id="84"/>
    </w:p>
    <w:p w14:paraId="24C7E9FB" w14:textId="77777777" w:rsidR="00EC50CE" w:rsidRDefault="00EC50CE" w:rsidP="00264A18">
      <w:pPr>
        <w:pStyle w:val="normal0"/>
        <w:spacing w:line="360" w:lineRule="auto"/>
        <w:rPr>
          <w:rFonts w:ascii="Times" w:hAnsi="Times"/>
          <w:sz w:val="24"/>
        </w:rPr>
      </w:pPr>
    </w:p>
    <w:p w14:paraId="35F1A22C" w14:textId="4C011638" w:rsidR="00DD7F43" w:rsidRDefault="00DD7F43" w:rsidP="00264A18">
      <w:pPr>
        <w:pStyle w:val="normal0"/>
        <w:spacing w:line="360" w:lineRule="auto"/>
        <w:rPr>
          <w:rFonts w:ascii="Times" w:hAnsi="Times"/>
          <w:sz w:val="24"/>
        </w:rPr>
      </w:pPr>
      <w:r>
        <w:rPr>
          <w:rFonts w:ascii="Times" w:hAnsi="Times"/>
          <w:sz w:val="24"/>
        </w:rPr>
        <w:t>Supplementary information is available as a file set in (Timmins-Schiffman and Roberts 2014c).</w:t>
      </w:r>
    </w:p>
    <w:p w14:paraId="471C59F7" w14:textId="77777777" w:rsidR="00EC50CE" w:rsidRDefault="00EC50CE" w:rsidP="00264A18">
      <w:pPr>
        <w:pStyle w:val="normal0"/>
        <w:spacing w:line="360" w:lineRule="auto"/>
        <w:rPr>
          <w:rFonts w:ascii="Times" w:hAnsi="Times"/>
          <w:sz w:val="24"/>
        </w:rPr>
      </w:pPr>
    </w:p>
    <w:p w14:paraId="44F09BB3" w14:textId="24680F36" w:rsidR="00511229" w:rsidRDefault="00EC50CE" w:rsidP="00264A18">
      <w:pPr>
        <w:pStyle w:val="normal0"/>
        <w:spacing w:line="360" w:lineRule="auto"/>
        <w:rPr>
          <w:rFonts w:ascii="Times" w:hAnsi="Times"/>
          <w:sz w:val="24"/>
        </w:rPr>
      </w:pPr>
      <w:r>
        <w:rPr>
          <w:rFonts w:ascii="Times" w:hAnsi="Times"/>
          <w:sz w:val="24"/>
        </w:rPr>
        <w:t>The proteomics dataset has been deposited to the ProteomeXchange with identifier PXD000835.</w:t>
      </w:r>
    </w:p>
    <w:p w14:paraId="25B44049" w14:textId="77777777" w:rsidR="00EC50CE" w:rsidRDefault="00EC50CE" w:rsidP="00264A18">
      <w:pPr>
        <w:pStyle w:val="normal0"/>
        <w:spacing w:line="360" w:lineRule="auto"/>
        <w:rPr>
          <w:rFonts w:ascii="Times" w:hAnsi="Times"/>
          <w:sz w:val="24"/>
        </w:rPr>
      </w:pPr>
    </w:p>
    <w:p w14:paraId="6D7A0E98" w14:textId="77777777" w:rsidR="00CA1ED0" w:rsidRPr="00CA1ED0" w:rsidRDefault="00CA1ED0" w:rsidP="00CA1ED0">
      <w:pPr>
        <w:pStyle w:val="normal0"/>
        <w:spacing w:line="360" w:lineRule="auto"/>
        <w:rPr>
          <w:rFonts w:ascii="Times" w:hAnsi="Times"/>
          <w:sz w:val="24"/>
        </w:rPr>
      </w:pPr>
      <w:r w:rsidRPr="00CA1ED0">
        <w:rPr>
          <w:rFonts w:ascii="Times" w:hAnsi="Times"/>
          <w:sz w:val="24"/>
        </w:rPr>
        <w:t xml:space="preserve">Figure S1. Representative indents made during micromechanical testing for the (A) 400 µatm and (B) 2800 µatm treatment. The radius of a circle radiating from the center of the indent enclosing all visible cracks was used to calculate fracture toughness, a portion of which is shown for each treatment. Arrow denotes the longest crack found for each indent. Radius length is shown on the image in µm. Mean crack radius was similar between the 400 and 1000 µatm treatments. </w:t>
      </w:r>
    </w:p>
    <w:p w14:paraId="7E8EC6F0" w14:textId="77777777" w:rsidR="00CA1ED0" w:rsidRPr="00CA1ED0" w:rsidRDefault="00CA1ED0" w:rsidP="00CA1ED0">
      <w:pPr>
        <w:pStyle w:val="normal0"/>
        <w:spacing w:line="360" w:lineRule="auto"/>
        <w:rPr>
          <w:rFonts w:ascii="Times" w:hAnsi="Times"/>
          <w:sz w:val="24"/>
        </w:rPr>
      </w:pPr>
    </w:p>
    <w:p w14:paraId="4672F0C7" w14:textId="77777777" w:rsidR="00CA1ED0" w:rsidRPr="00CA1ED0" w:rsidRDefault="00CA1ED0" w:rsidP="00CA1ED0">
      <w:pPr>
        <w:pStyle w:val="normal0"/>
        <w:spacing w:line="360" w:lineRule="auto"/>
        <w:rPr>
          <w:rFonts w:ascii="Times" w:hAnsi="Times"/>
          <w:sz w:val="24"/>
        </w:rPr>
      </w:pPr>
      <w:r w:rsidRPr="00CA1ED0">
        <w:rPr>
          <w:rFonts w:ascii="Times" w:hAnsi="Times"/>
          <w:sz w:val="24"/>
        </w:rPr>
        <w:t>Figure S2. Glycogen content (µg glycogen per mg tissue) for oysters from the pCO2 treatments of 400, 800, and 2800 µatm.  There is no difference in glycogen content among treatment groups.</w:t>
      </w:r>
    </w:p>
    <w:p w14:paraId="428BEB6B" w14:textId="77777777" w:rsidR="00CA1ED0" w:rsidRPr="00CA1ED0" w:rsidRDefault="00CA1ED0" w:rsidP="00CA1ED0">
      <w:pPr>
        <w:pStyle w:val="normal0"/>
        <w:spacing w:line="360" w:lineRule="auto"/>
        <w:rPr>
          <w:rFonts w:ascii="Times" w:hAnsi="Times"/>
          <w:sz w:val="24"/>
        </w:rPr>
      </w:pPr>
    </w:p>
    <w:p w14:paraId="0CD33BA5" w14:textId="77777777" w:rsidR="00CA1ED0" w:rsidRPr="00CA1ED0" w:rsidRDefault="00CA1ED0" w:rsidP="00CA1ED0">
      <w:pPr>
        <w:pStyle w:val="normal0"/>
        <w:spacing w:line="360" w:lineRule="auto"/>
        <w:rPr>
          <w:rFonts w:ascii="Times" w:hAnsi="Times"/>
          <w:sz w:val="24"/>
        </w:rPr>
      </w:pPr>
      <w:r w:rsidRPr="00CA1ED0">
        <w:rPr>
          <w:rFonts w:ascii="Times" w:hAnsi="Times"/>
          <w:sz w:val="24"/>
        </w:rPr>
        <w:t>Figure S3. Heat maps of differentially expressed proteins annotated with protein names.  Protein expression values have been log-transformed.  The dendrograms on the left of the heat maps represent the clustering of proteins according to expression profile.</w:t>
      </w:r>
    </w:p>
    <w:p w14:paraId="1EA3DF44" w14:textId="77777777" w:rsidR="00CA1ED0" w:rsidRPr="00CA1ED0" w:rsidRDefault="00CA1ED0" w:rsidP="00CA1ED0">
      <w:pPr>
        <w:pStyle w:val="normal0"/>
        <w:spacing w:line="360" w:lineRule="auto"/>
        <w:rPr>
          <w:rFonts w:ascii="Times" w:hAnsi="Times"/>
          <w:sz w:val="24"/>
        </w:rPr>
      </w:pPr>
    </w:p>
    <w:p w14:paraId="0FB901A2" w14:textId="77777777" w:rsidR="00CA1ED0" w:rsidRPr="00CA1ED0" w:rsidRDefault="00CA1ED0" w:rsidP="00CA1ED0">
      <w:pPr>
        <w:pStyle w:val="normal0"/>
        <w:spacing w:line="360" w:lineRule="auto"/>
        <w:rPr>
          <w:rFonts w:ascii="Times" w:hAnsi="Times"/>
          <w:sz w:val="24"/>
        </w:rPr>
      </w:pPr>
      <w:r w:rsidRPr="00CA1ED0">
        <w:rPr>
          <w:rFonts w:ascii="Times" w:hAnsi="Times"/>
          <w:sz w:val="24"/>
        </w:rPr>
        <w:t xml:space="preserve">Figure S4. Representation of key metabolic pathways that are significantly affected by ocean acidification (A), mechanical stress at low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(B), and mechanical stress at high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 xml:space="preserve"> (C).  Red lines are proteins/pathways that are differentially expressed at higher levels in the stress treatments and blue lines are those that are differentially expressed at lower levels. In the key, the different colored lines represent different metabolic pathways that are affected by oyster exposure to ocean acidification and/or mechanical stimulation.  Figures are also available on FigShare with input files for iPath2 to allow for interactive exploration of the data (Timmins-Schiffman and Roberts 2014b).</w:t>
      </w:r>
    </w:p>
    <w:p w14:paraId="478053BB" w14:textId="77777777" w:rsidR="00CA1ED0" w:rsidRPr="00CA1ED0" w:rsidRDefault="00CA1ED0" w:rsidP="00CA1ED0">
      <w:pPr>
        <w:pStyle w:val="normal0"/>
        <w:spacing w:line="360" w:lineRule="auto"/>
        <w:rPr>
          <w:rFonts w:ascii="Times" w:hAnsi="Times"/>
          <w:sz w:val="24"/>
        </w:rPr>
      </w:pPr>
    </w:p>
    <w:p w14:paraId="21190966" w14:textId="77777777" w:rsidR="00CA1ED0" w:rsidRPr="00CA1ED0" w:rsidRDefault="00CA1ED0" w:rsidP="00CA1ED0">
      <w:pPr>
        <w:pStyle w:val="normal0"/>
        <w:spacing w:line="360" w:lineRule="auto"/>
        <w:rPr>
          <w:rFonts w:ascii="Times" w:hAnsi="Times"/>
          <w:sz w:val="24"/>
        </w:rPr>
      </w:pPr>
      <w:r w:rsidRPr="00CA1ED0">
        <w:rPr>
          <w:rFonts w:ascii="Times" w:hAnsi="Times"/>
          <w:sz w:val="24"/>
        </w:rPr>
        <w:t>Table S1. Raw and normalized (proportion) fatty acid data for 8 oysters each from 3 treatments: 400, 800, and 2800 µatm.</w:t>
      </w:r>
    </w:p>
    <w:p w14:paraId="588A4713" w14:textId="77777777" w:rsidR="00CA1ED0" w:rsidRPr="00CA1ED0" w:rsidRDefault="00CA1ED0" w:rsidP="00CA1ED0">
      <w:pPr>
        <w:pStyle w:val="normal0"/>
        <w:spacing w:line="360" w:lineRule="auto"/>
        <w:rPr>
          <w:rFonts w:ascii="Times" w:hAnsi="Times"/>
          <w:sz w:val="24"/>
        </w:rPr>
      </w:pPr>
    </w:p>
    <w:p w14:paraId="4BD58682" w14:textId="77777777" w:rsidR="00CA1ED0" w:rsidRPr="00CA1ED0" w:rsidRDefault="00CA1ED0" w:rsidP="00CA1ED0">
      <w:pPr>
        <w:pStyle w:val="normal0"/>
        <w:spacing w:line="360" w:lineRule="auto"/>
        <w:rPr>
          <w:rFonts w:ascii="Times" w:hAnsi="Times"/>
          <w:sz w:val="24"/>
        </w:rPr>
      </w:pPr>
      <w:r w:rsidRPr="00CA1ED0">
        <w:rPr>
          <w:rFonts w:ascii="Times" w:hAnsi="Times"/>
          <w:sz w:val="24"/>
        </w:rPr>
        <w:t>Table S2. ProteinProphet output for each technical replicate.  Information for each protein includes percent coverage by sequenced peptides, total number unique peptides, total independent spectra (spectral count), and peptide sequences.</w:t>
      </w:r>
    </w:p>
    <w:p w14:paraId="59960490" w14:textId="77777777" w:rsidR="00CA1ED0" w:rsidRPr="00CA1ED0" w:rsidRDefault="00CA1ED0" w:rsidP="00CA1ED0">
      <w:pPr>
        <w:pStyle w:val="normal0"/>
        <w:spacing w:line="360" w:lineRule="auto"/>
        <w:rPr>
          <w:rFonts w:ascii="Times" w:hAnsi="Times"/>
          <w:sz w:val="24"/>
        </w:rPr>
      </w:pPr>
    </w:p>
    <w:p w14:paraId="6B39F242" w14:textId="77777777" w:rsidR="00CA1ED0" w:rsidRPr="00CA1ED0" w:rsidRDefault="00CA1ED0" w:rsidP="00CA1ED0">
      <w:pPr>
        <w:pStyle w:val="normal0"/>
        <w:spacing w:line="360" w:lineRule="auto"/>
        <w:rPr>
          <w:rFonts w:ascii="Times" w:hAnsi="Times"/>
          <w:sz w:val="24"/>
        </w:rPr>
      </w:pPr>
      <w:r w:rsidRPr="00CA1ED0">
        <w:rPr>
          <w:rFonts w:ascii="Times" w:hAnsi="Times"/>
          <w:sz w:val="24"/>
        </w:rPr>
        <w:t xml:space="preserve">Table S3. Protein expression values (NSAF) for each oyster for the 1 616 proteins identified.  Also included are average expression values across treatments (i.e. 2800 avg NSAF is the average expression across all four high </w:t>
      </w:r>
      <w:r w:rsidRPr="00CA1ED0">
        <w:rPr>
          <w:rFonts w:ascii="Times" w:hAnsi="Times"/>
          <w:i/>
          <w:sz w:val="24"/>
        </w:rPr>
        <w:t>p</w:t>
      </w:r>
      <w:r w:rsidRPr="00CA1ED0">
        <w:rPr>
          <w:rFonts w:ascii="Times" w:hAnsi="Times"/>
          <w:sz w:val="24"/>
        </w:rPr>
        <w:t>CO</w:t>
      </w:r>
      <w:r w:rsidRPr="00CA1ED0">
        <w:rPr>
          <w:rFonts w:ascii="Times" w:hAnsi="Times"/>
          <w:sz w:val="24"/>
          <w:vertAlign w:val="subscript"/>
        </w:rPr>
        <w:t>2</w:t>
      </w:r>
      <w:r w:rsidRPr="00CA1ED0">
        <w:rPr>
          <w:rFonts w:ascii="Times" w:hAnsi="Times"/>
          <w:sz w:val="24"/>
        </w:rPr>
        <w:t>-exposed oysters); fold change for treatment/control oysters (i.e. Fold Diff OA is [2800 avg NSAF]/[400 avg NSAF]); columns for each of the three treatment comparisons with an asterisk indicating if the protein is &gt;5-fold up- or down-regulated; SwissProt annotation, e-value, and gene description; proteins responsible for enrichment and the treatment comparisons in which they are enriched; a column indicating in which stress treatment proteins are differentially expressed (q-value &lt; 0.1).  In the fold difference columns “up” signifies that the protein was only expressed in oysters from the 2800 µatm treatment (versus the 400 µatm , Fold Diff OA), mechanical stress at 400 µatm treatment (versus 400 µatm, Fold Diff 400 MechS), or in the mechanical stress at 2800 µatm (versus 2800 µatm, Fold Diff 2800 MechS); “down” represents proteins that were only expressed in the other treatment for each comparison.</w:t>
      </w:r>
    </w:p>
    <w:p w14:paraId="290FC809" w14:textId="77777777" w:rsidR="00CA1ED0" w:rsidRPr="00CA1ED0" w:rsidRDefault="00CA1ED0" w:rsidP="00CA1ED0">
      <w:pPr>
        <w:pStyle w:val="normal0"/>
        <w:spacing w:line="360" w:lineRule="auto"/>
        <w:rPr>
          <w:rFonts w:ascii="Times" w:hAnsi="Times"/>
          <w:sz w:val="24"/>
        </w:rPr>
      </w:pPr>
    </w:p>
    <w:p w14:paraId="5D79D710" w14:textId="77777777" w:rsidR="00CA1ED0" w:rsidRPr="00CA1ED0" w:rsidRDefault="00CA1ED0" w:rsidP="00CA1ED0">
      <w:pPr>
        <w:pStyle w:val="normal0"/>
        <w:spacing w:line="360" w:lineRule="auto"/>
        <w:rPr>
          <w:rFonts w:ascii="Times" w:hAnsi="Times"/>
          <w:sz w:val="24"/>
        </w:rPr>
      </w:pPr>
      <w:r w:rsidRPr="00CA1ED0">
        <w:rPr>
          <w:rFonts w:ascii="Times" w:hAnsi="Times"/>
          <w:sz w:val="24"/>
        </w:rPr>
        <w:t xml:space="preserve">Table S4. </w:t>
      </w:r>
      <w:r w:rsidRPr="00CA1ED0">
        <w:rPr>
          <w:rFonts w:ascii="Times" w:hAnsi="Times"/>
          <w:i/>
          <w:sz w:val="24"/>
        </w:rPr>
        <w:t>C. gigas</w:t>
      </w:r>
      <w:r w:rsidRPr="00CA1ED0">
        <w:rPr>
          <w:rFonts w:ascii="Times" w:hAnsi="Times"/>
          <w:sz w:val="24"/>
        </w:rPr>
        <w:t xml:space="preserve"> proteins with associated SwissProt/UniProt-KB, Gene Ontology (GO), and GO Slim annotations.</w:t>
      </w:r>
    </w:p>
    <w:p w14:paraId="263C59D4" w14:textId="77777777" w:rsidR="00CA1ED0" w:rsidRPr="00CA1ED0" w:rsidRDefault="00CA1ED0" w:rsidP="00CA1ED0">
      <w:pPr>
        <w:pStyle w:val="normal0"/>
        <w:spacing w:line="360" w:lineRule="auto"/>
        <w:rPr>
          <w:rFonts w:ascii="Times" w:hAnsi="Times"/>
          <w:sz w:val="24"/>
        </w:rPr>
      </w:pPr>
    </w:p>
    <w:p w14:paraId="0512F3AA" w14:textId="744EEBC2" w:rsidR="00264A18" w:rsidRPr="00CA1ED0" w:rsidRDefault="00CA1ED0" w:rsidP="00CA1ED0">
      <w:pPr>
        <w:pStyle w:val="normal0"/>
        <w:spacing w:line="360" w:lineRule="auto"/>
        <w:rPr>
          <w:rFonts w:ascii="Times" w:hAnsi="Times"/>
          <w:sz w:val="24"/>
        </w:rPr>
      </w:pPr>
      <w:r w:rsidRPr="00CA1ED0">
        <w:rPr>
          <w:rFonts w:ascii="Times" w:hAnsi="Times"/>
          <w:sz w:val="24"/>
        </w:rPr>
        <w:t xml:space="preserve">Table S5. Enriched biological processes for proteins &gt;2-fold differentially expressed in the stress responses to elevated </w:t>
      </w:r>
      <w:r w:rsidRPr="00CA1ED0">
        <w:rPr>
          <w:rFonts w:ascii="Times" w:hAnsi="Times"/>
          <w:i/>
          <w:sz w:val="24"/>
        </w:rPr>
        <w:t>p</w:t>
      </w:r>
      <w:r w:rsidRPr="00CA1ED0">
        <w:rPr>
          <w:rFonts w:ascii="Times" w:hAnsi="Times"/>
          <w:sz w:val="24"/>
        </w:rPr>
        <w:t>CO</w:t>
      </w:r>
      <w:r w:rsidRPr="00CA1ED0">
        <w:rPr>
          <w:rFonts w:ascii="Times" w:hAnsi="Times"/>
          <w:sz w:val="24"/>
          <w:vertAlign w:val="subscript"/>
        </w:rPr>
        <w:t xml:space="preserve">2 </w:t>
      </w:r>
      <w:r w:rsidRPr="00CA1ED0">
        <w:rPr>
          <w:rFonts w:ascii="Times" w:hAnsi="Times"/>
          <w:sz w:val="24"/>
        </w:rPr>
        <w:t>of 2800 µatm (“OA”), mechanical stress after a one month exposure to 400 µatm (“Mech Stress 400 µatm”), and mechanical stress after a one month exposure to 2800 µtam (“Mech Stress 2800 µatm”).  Table includes enriched GO term, number of proteins contributing to that GO term, p-value indicating degree of enrichment, the SwissProt accession numbers for those proteins, the fold enrichment for each GO term, and the false discovery rate (FDR).</w:t>
      </w:r>
    </w:p>
    <w:p w14:paraId="6D8B6C1B" w14:textId="77777777" w:rsidR="00071B1D" w:rsidRPr="00071B1D" w:rsidRDefault="00071B1D" w:rsidP="00071B1D"/>
    <w:p w14:paraId="06C81894" w14:textId="16175847" w:rsidR="00C02D9B" w:rsidRDefault="00071B1D" w:rsidP="00071B1D">
      <w:pPr>
        <w:pStyle w:val="Heading2"/>
      </w:pPr>
      <w:bookmarkStart w:id="85" w:name="_Toc257278827"/>
      <w:r>
        <w:t>Acknowledgements</w:t>
      </w:r>
      <w:bookmarkEnd w:id="85"/>
    </w:p>
    <w:p w14:paraId="24AFE9EE" w14:textId="05BCC76B" w:rsidR="00071B1D" w:rsidRPr="00071B1D" w:rsidRDefault="00CA1ED0" w:rsidP="00071B1D">
      <w:r w:rsidRPr="00183126">
        <w:rPr>
          <w:rFonts w:ascii="Times" w:hAnsi="Times"/>
          <w:szCs w:val="22"/>
        </w:rPr>
        <w:t>We would like to thank Taylor Shellfish for the donation of all oysters used in this research, particularly Dr. Joth Davis, Jason Ragan, and Dustin Johnson.  Sam Garson and Ronen Elad donated their time to oyster collection and maintenance, respectively.  Dr. Carolyn Friedman provided essential advice for many parts of the experimental design</w:t>
      </w:r>
      <w:r>
        <w:rPr>
          <w:rFonts w:ascii="Times" w:hAnsi="Times"/>
          <w:szCs w:val="22"/>
        </w:rPr>
        <w:t xml:space="preserve"> as well as edits for the manuscript</w:t>
      </w:r>
      <w:r w:rsidRPr="00183126">
        <w:rPr>
          <w:rFonts w:ascii="Times" w:hAnsi="Times"/>
          <w:szCs w:val="22"/>
        </w:rPr>
        <w:t xml:space="preserve">.  Drs. Ken Sebens and Emily Carrington generously provided use of the ocean acidification system at Friday Harbor Labs.  Matt George, Dr. Moose O’Donnell, and Michelle Herko were indefatigable in their help with running the experiment and technical troubleshooting.  Oyster sampling was aided by Sam White, Mackenzie Gavery, and Caroline Storer.  Thank you pub-a-thon participants and Dr. Lorenz Hauser for comments throughout the manuscript writing process.  Dr. Priska von Haller, Jimmy Eng, and Tahmina “Eva” Jahan were indispensable in executing the proteomics portion of the experiment.  J. Sean Yeung and Dr. Mike Brett provided training, lab space, and help with analysis for the fatty acids. </w:t>
      </w:r>
      <w:r>
        <w:rPr>
          <w:rFonts w:ascii="Times" w:hAnsi="Times"/>
          <w:szCs w:val="22"/>
        </w:rPr>
        <w:t xml:space="preserve">  This work was supported in part by the SQLShare project at the University of Washington eScience Institute.</w:t>
      </w:r>
    </w:p>
    <w:p w14:paraId="18A256C4" w14:textId="1A60AB61" w:rsidR="00071B1D" w:rsidRDefault="00C85C10" w:rsidP="00071B1D">
      <w:pPr>
        <w:pStyle w:val="Heading2"/>
      </w:pPr>
      <w:bookmarkStart w:id="86" w:name="_Toc257278828"/>
      <w:r>
        <w:t>Works Cited</w:t>
      </w:r>
      <w:bookmarkEnd w:id="86"/>
    </w:p>
    <w:p w14:paraId="3D779EBD" w14:textId="77777777" w:rsidR="006259AF" w:rsidRPr="006259AF" w:rsidRDefault="006259AF" w:rsidP="006259AF">
      <w:pPr>
        <w:pStyle w:val="NormalWeb"/>
        <w:ind w:left="720" w:hanging="720"/>
        <w:rPr>
          <w:noProof/>
          <w:sz w:val="24"/>
          <w:szCs w:val="24"/>
        </w:rPr>
      </w:pPr>
      <w:r w:rsidRPr="006259AF">
        <w:rPr>
          <w:noProof/>
          <w:sz w:val="24"/>
          <w:szCs w:val="24"/>
        </w:rPr>
        <w:t xml:space="preserve">Abele, D., Philipp, E., Gonzalez, P. M., and Puntarulo, S. (2007). Marine invertebrate mitochondria and oxidative stress. </w:t>
      </w:r>
      <w:r w:rsidRPr="006259AF">
        <w:rPr>
          <w:i/>
          <w:iCs/>
          <w:noProof/>
          <w:sz w:val="24"/>
          <w:szCs w:val="24"/>
        </w:rPr>
        <w:t>Frontiers in Bioscience</w:t>
      </w:r>
      <w:r w:rsidRPr="006259AF">
        <w:rPr>
          <w:noProof/>
          <w:sz w:val="24"/>
          <w:szCs w:val="24"/>
        </w:rPr>
        <w:t xml:space="preserve">, </w:t>
      </w:r>
      <w:r w:rsidRPr="006259AF">
        <w:rPr>
          <w:iCs/>
          <w:noProof/>
          <w:sz w:val="24"/>
          <w:szCs w:val="24"/>
        </w:rPr>
        <w:t>12</w:t>
      </w:r>
      <w:r w:rsidRPr="006259AF">
        <w:rPr>
          <w:noProof/>
          <w:sz w:val="24"/>
          <w:szCs w:val="24"/>
        </w:rPr>
        <w:t>, 933–946.</w:t>
      </w:r>
    </w:p>
    <w:p w14:paraId="3111A0A9" w14:textId="77777777" w:rsidR="006259AF" w:rsidRPr="006259AF" w:rsidRDefault="006259AF" w:rsidP="006259AF">
      <w:pPr>
        <w:pStyle w:val="NormalWeb"/>
        <w:ind w:left="720" w:hanging="720"/>
        <w:rPr>
          <w:noProof/>
          <w:sz w:val="24"/>
          <w:szCs w:val="24"/>
        </w:rPr>
      </w:pPr>
      <w:r w:rsidRPr="006259AF">
        <w:rPr>
          <w:noProof/>
          <w:sz w:val="24"/>
          <w:szCs w:val="24"/>
        </w:rPr>
        <w:t xml:space="preserve">Altschul, S. F., Madden, T. L., Schäffer, A.A., Zhang, J., Zhang, Z., Miller, W., and Lipman, D. J. (1997). Gapped BLAST and PSI-BLAST: a new generation of protein database search programs. </w:t>
      </w:r>
      <w:r w:rsidRPr="006259AF">
        <w:rPr>
          <w:i/>
          <w:iCs/>
          <w:noProof/>
          <w:sz w:val="24"/>
          <w:szCs w:val="24"/>
        </w:rPr>
        <w:t>Nucleic acids research</w:t>
      </w:r>
      <w:r w:rsidRPr="006259AF">
        <w:rPr>
          <w:noProof/>
          <w:sz w:val="24"/>
          <w:szCs w:val="24"/>
        </w:rPr>
        <w:t xml:space="preserve">, </w:t>
      </w:r>
      <w:r w:rsidRPr="006259AF">
        <w:rPr>
          <w:iCs/>
          <w:noProof/>
          <w:sz w:val="24"/>
          <w:szCs w:val="24"/>
        </w:rPr>
        <w:t>25</w:t>
      </w:r>
      <w:r w:rsidRPr="006259AF">
        <w:rPr>
          <w:noProof/>
          <w:sz w:val="24"/>
          <w:szCs w:val="24"/>
        </w:rPr>
        <w:t>(17), 3389–402.</w:t>
      </w:r>
    </w:p>
    <w:p w14:paraId="0C4D51BC" w14:textId="77777777" w:rsidR="006259AF" w:rsidRPr="006259AF" w:rsidRDefault="006259AF" w:rsidP="006259AF">
      <w:pPr>
        <w:pStyle w:val="NormalWeb"/>
        <w:ind w:left="720" w:hanging="720"/>
        <w:rPr>
          <w:noProof/>
          <w:sz w:val="24"/>
          <w:szCs w:val="24"/>
        </w:rPr>
      </w:pPr>
      <w:r w:rsidRPr="006259AF">
        <w:rPr>
          <w:noProof/>
          <w:sz w:val="24"/>
          <w:szCs w:val="24"/>
        </w:rPr>
        <w:t xml:space="preserve">Anstis, G. R., Chantikul, P., Lawn, B. R., and Marshall, D. B. (1981). A critical evaluation of indentation techniques for measuring fracture toughness: I, direct crack measurements. </w:t>
      </w:r>
      <w:r w:rsidRPr="006259AF">
        <w:rPr>
          <w:i/>
          <w:iCs/>
          <w:noProof/>
          <w:sz w:val="24"/>
          <w:szCs w:val="24"/>
        </w:rPr>
        <w:t>Journal of the American Ceramic Society</w:t>
      </w:r>
      <w:r w:rsidRPr="006259AF">
        <w:rPr>
          <w:noProof/>
          <w:sz w:val="24"/>
          <w:szCs w:val="24"/>
        </w:rPr>
        <w:t xml:space="preserve">, </w:t>
      </w:r>
      <w:r w:rsidRPr="006259AF">
        <w:rPr>
          <w:iCs/>
          <w:noProof/>
          <w:sz w:val="24"/>
          <w:szCs w:val="24"/>
        </w:rPr>
        <w:t>46</w:t>
      </w:r>
      <w:r w:rsidRPr="006259AF">
        <w:rPr>
          <w:noProof/>
          <w:sz w:val="24"/>
          <w:szCs w:val="24"/>
        </w:rPr>
        <w:t>(9), 533–538.</w:t>
      </w:r>
    </w:p>
    <w:p w14:paraId="0D4540B6" w14:textId="77777777" w:rsidR="006259AF" w:rsidRPr="006259AF" w:rsidRDefault="006259AF" w:rsidP="006259AF">
      <w:pPr>
        <w:pStyle w:val="NormalWeb"/>
        <w:ind w:left="720" w:hanging="720"/>
        <w:rPr>
          <w:noProof/>
          <w:sz w:val="24"/>
          <w:szCs w:val="24"/>
        </w:rPr>
      </w:pPr>
      <w:r w:rsidRPr="006259AF">
        <w:rPr>
          <w:noProof/>
          <w:sz w:val="24"/>
          <w:szCs w:val="24"/>
        </w:rPr>
        <w:t xml:space="preserve">Baldassarri, M., Margolis, H. C., and Beniash, E. (2008). Compositional Determinants of Mechanical Properties of Enamel. </w:t>
      </w:r>
      <w:r w:rsidRPr="006259AF">
        <w:rPr>
          <w:i/>
          <w:iCs/>
          <w:noProof/>
          <w:sz w:val="24"/>
          <w:szCs w:val="24"/>
        </w:rPr>
        <w:t>Journal of Dental Research</w:t>
      </w:r>
      <w:r w:rsidRPr="006259AF">
        <w:rPr>
          <w:noProof/>
          <w:sz w:val="24"/>
          <w:szCs w:val="24"/>
        </w:rPr>
        <w:t xml:space="preserve">, </w:t>
      </w:r>
      <w:r w:rsidRPr="006259AF">
        <w:rPr>
          <w:iCs/>
          <w:noProof/>
          <w:sz w:val="24"/>
          <w:szCs w:val="24"/>
        </w:rPr>
        <w:t>87</w:t>
      </w:r>
      <w:r w:rsidRPr="006259AF">
        <w:rPr>
          <w:noProof/>
          <w:sz w:val="24"/>
          <w:szCs w:val="24"/>
        </w:rPr>
        <w:t>(7), 645–649. doi:10.1177/154405910808700711</w:t>
      </w:r>
    </w:p>
    <w:p w14:paraId="34D04E6D" w14:textId="77777777" w:rsidR="006259AF" w:rsidRPr="006259AF" w:rsidRDefault="006259AF" w:rsidP="006259AF">
      <w:pPr>
        <w:pStyle w:val="NormalWeb"/>
        <w:ind w:left="720" w:hanging="720"/>
        <w:rPr>
          <w:noProof/>
          <w:sz w:val="24"/>
          <w:szCs w:val="24"/>
        </w:rPr>
      </w:pPr>
      <w:r w:rsidRPr="006259AF">
        <w:rPr>
          <w:noProof/>
          <w:sz w:val="24"/>
          <w:szCs w:val="24"/>
        </w:rPr>
        <w:t xml:space="preserve">Barton, A., Hales, B., Waldbusser, G. G., Langdon, C., and Feely, R.A. (2012). The Pacific oyster, Crassostrea gigas, shows negative correlation to naturally elevated carbon dioxide levels: Implications for near-term ocean acidification effects. </w:t>
      </w:r>
      <w:r w:rsidRPr="006259AF">
        <w:rPr>
          <w:i/>
          <w:iCs/>
          <w:noProof/>
          <w:sz w:val="24"/>
          <w:szCs w:val="24"/>
        </w:rPr>
        <w:t>Limnology and Oceanography</w:t>
      </w:r>
      <w:r w:rsidRPr="006259AF">
        <w:rPr>
          <w:noProof/>
          <w:sz w:val="24"/>
          <w:szCs w:val="24"/>
        </w:rPr>
        <w:t xml:space="preserve">, </w:t>
      </w:r>
      <w:r w:rsidRPr="006259AF">
        <w:rPr>
          <w:iCs/>
          <w:noProof/>
          <w:sz w:val="24"/>
          <w:szCs w:val="24"/>
        </w:rPr>
        <w:t>57</w:t>
      </w:r>
      <w:r w:rsidRPr="006259AF">
        <w:rPr>
          <w:noProof/>
          <w:sz w:val="24"/>
          <w:szCs w:val="24"/>
        </w:rPr>
        <w:t>(3), 698–710. doi:10.4319/lo.2012.57.3.0698</w:t>
      </w:r>
    </w:p>
    <w:p w14:paraId="365D69F0" w14:textId="77777777" w:rsidR="006259AF" w:rsidRPr="006259AF" w:rsidRDefault="006259AF" w:rsidP="006259AF">
      <w:pPr>
        <w:pStyle w:val="NormalWeb"/>
        <w:ind w:left="720" w:hanging="720"/>
        <w:rPr>
          <w:noProof/>
          <w:sz w:val="24"/>
          <w:szCs w:val="24"/>
        </w:rPr>
      </w:pPr>
      <w:r w:rsidRPr="006259AF">
        <w:rPr>
          <w:noProof/>
          <w:sz w:val="24"/>
          <w:szCs w:val="24"/>
        </w:rPr>
        <w:t xml:space="preserve">Beniash, E., Ivanina, A., Lieb, N., Kurochkin, I., and Sokolova, I. (2010). Elevated level of carbon dioxide affects metabolism and shell formation in oysters Crassostrea virginica (Gmelin). </w:t>
      </w:r>
      <w:r w:rsidRPr="006259AF">
        <w:rPr>
          <w:i/>
          <w:iCs/>
          <w:noProof/>
          <w:sz w:val="24"/>
          <w:szCs w:val="24"/>
        </w:rPr>
        <w:t>Marine Ecology Progress Series</w:t>
      </w:r>
      <w:r w:rsidRPr="006259AF">
        <w:rPr>
          <w:noProof/>
          <w:sz w:val="24"/>
          <w:szCs w:val="24"/>
        </w:rPr>
        <w:t xml:space="preserve">, </w:t>
      </w:r>
      <w:r w:rsidRPr="006259AF">
        <w:rPr>
          <w:iCs/>
          <w:noProof/>
          <w:sz w:val="24"/>
          <w:szCs w:val="24"/>
        </w:rPr>
        <w:t>419</w:t>
      </w:r>
      <w:r w:rsidRPr="006259AF">
        <w:rPr>
          <w:noProof/>
          <w:sz w:val="24"/>
          <w:szCs w:val="24"/>
        </w:rPr>
        <w:t>, 95–108. doi:10.3354/meps08841</w:t>
      </w:r>
    </w:p>
    <w:p w14:paraId="38B5FAD3" w14:textId="77777777" w:rsidR="006259AF" w:rsidRPr="006259AF" w:rsidRDefault="006259AF" w:rsidP="006259AF">
      <w:pPr>
        <w:pStyle w:val="NormalWeb"/>
        <w:ind w:left="720" w:hanging="720"/>
        <w:rPr>
          <w:noProof/>
          <w:sz w:val="24"/>
          <w:szCs w:val="24"/>
        </w:rPr>
      </w:pPr>
      <w:r w:rsidRPr="006259AF">
        <w:rPr>
          <w:noProof/>
          <w:sz w:val="24"/>
          <w:szCs w:val="24"/>
        </w:rPr>
        <w:t>Berthelin, C., Kellner, K., and Mathieu, M. (2000). Storage metabolism in the Pacific oyster (</w:t>
      </w:r>
      <w:r w:rsidRPr="006259AF">
        <w:rPr>
          <w:i/>
          <w:noProof/>
          <w:sz w:val="24"/>
          <w:szCs w:val="24"/>
        </w:rPr>
        <w:t>Crassostrea gigas</w:t>
      </w:r>
      <w:r w:rsidRPr="006259AF">
        <w:rPr>
          <w:noProof/>
          <w:sz w:val="24"/>
          <w:szCs w:val="24"/>
        </w:rPr>
        <w:t xml:space="preserve">) in relation to summer mortalities and reproductive cycle (West Coast of France). </w:t>
      </w:r>
      <w:r w:rsidRPr="006259AF">
        <w:rPr>
          <w:i/>
          <w:noProof/>
          <w:sz w:val="24"/>
          <w:szCs w:val="24"/>
        </w:rPr>
        <w:t>Comparative Biochemistry and Physiology Part B</w:t>
      </w:r>
      <w:r w:rsidRPr="006259AF">
        <w:rPr>
          <w:noProof/>
          <w:sz w:val="24"/>
          <w:szCs w:val="24"/>
        </w:rPr>
        <w:t>, 125, 359-369. doi:10.1016/S0305-0491(99)00187-X</w:t>
      </w:r>
    </w:p>
    <w:p w14:paraId="386433F0" w14:textId="77777777" w:rsidR="006259AF" w:rsidRPr="006259AF" w:rsidRDefault="006259AF" w:rsidP="006259AF">
      <w:pPr>
        <w:pStyle w:val="NormalWeb"/>
        <w:ind w:left="720" w:hanging="720"/>
        <w:rPr>
          <w:noProof/>
          <w:sz w:val="24"/>
          <w:szCs w:val="24"/>
        </w:rPr>
      </w:pPr>
      <w:r w:rsidRPr="006259AF">
        <w:rPr>
          <w:noProof/>
          <w:sz w:val="24"/>
          <w:szCs w:val="24"/>
        </w:rPr>
        <w:t xml:space="preserve">Both, A., Parrish, C. C., Penney, R. W.,  and Thompson, R. J. (2011). Lipid composition of Mytilus edulis reared on organic waste from a Gadus morhua aquaculture facility. </w:t>
      </w:r>
      <w:r w:rsidRPr="006259AF">
        <w:rPr>
          <w:i/>
          <w:noProof/>
          <w:sz w:val="24"/>
          <w:szCs w:val="24"/>
        </w:rPr>
        <w:t>Aquatic Living Resources</w:t>
      </w:r>
      <w:r w:rsidRPr="006259AF">
        <w:rPr>
          <w:noProof/>
          <w:sz w:val="24"/>
          <w:szCs w:val="24"/>
        </w:rPr>
        <w:t xml:space="preserve">, </w:t>
      </w:r>
      <w:r w:rsidRPr="006259AF">
        <w:rPr>
          <w:iCs/>
          <w:noProof/>
          <w:sz w:val="24"/>
          <w:szCs w:val="24"/>
        </w:rPr>
        <w:t>301</w:t>
      </w:r>
      <w:r w:rsidRPr="006259AF">
        <w:rPr>
          <w:noProof/>
          <w:sz w:val="24"/>
          <w:szCs w:val="24"/>
        </w:rPr>
        <w:t>, 295–301.</w:t>
      </w:r>
    </w:p>
    <w:p w14:paraId="77295C5F" w14:textId="77777777" w:rsidR="006259AF" w:rsidRPr="006259AF" w:rsidRDefault="006259AF" w:rsidP="006259AF">
      <w:pPr>
        <w:pStyle w:val="NormalWeb"/>
        <w:ind w:left="720" w:hanging="720"/>
        <w:rPr>
          <w:noProof/>
          <w:sz w:val="24"/>
          <w:szCs w:val="24"/>
        </w:rPr>
      </w:pPr>
      <w:r w:rsidRPr="006259AF">
        <w:rPr>
          <w:noProof/>
          <w:sz w:val="24"/>
          <w:szCs w:val="24"/>
        </w:rPr>
        <w:t xml:space="preserve">Caldeira, K. and Wickett, M.E. (2005). Ocean model predictions of chemistry changes from carbon dioxide emissions to the atmosphere and ocean. </w:t>
      </w:r>
      <w:r w:rsidRPr="006259AF">
        <w:rPr>
          <w:i/>
          <w:iCs/>
          <w:noProof/>
          <w:sz w:val="24"/>
          <w:szCs w:val="24"/>
        </w:rPr>
        <w:t>Journal of Geophysical Research</w:t>
      </w:r>
      <w:r w:rsidRPr="006259AF">
        <w:rPr>
          <w:noProof/>
          <w:sz w:val="24"/>
          <w:szCs w:val="24"/>
        </w:rPr>
        <w:t xml:space="preserve">, </w:t>
      </w:r>
      <w:r w:rsidRPr="006259AF">
        <w:rPr>
          <w:iCs/>
          <w:noProof/>
          <w:sz w:val="24"/>
          <w:szCs w:val="24"/>
        </w:rPr>
        <w:t>110</w:t>
      </w:r>
      <w:r w:rsidRPr="006259AF">
        <w:rPr>
          <w:noProof/>
          <w:sz w:val="24"/>
          <w:szCs w:val="24"/>
        </w:rPr>
        <w:t>, C09S04. doi:10.1029/2004JC002671</w:t>
      </w:r>
    </w:p>
    <w:p w14:paraId="08C98EB8" w14:textId="77777777" w:rsidR="006259AF" w:rsidRPr="006259AF" w:rsidRDefault="006259AF" w:rsidP="006259AF">
      <w:pPr>
        <w:pStyle w:val="NormalWeb"/>
        <w:ind w:left="720" w:hanging="720"/>
        <w:rPr>
          <w:noProof/>
          <w:sz w:val="24"/>
          <w:szCs w:val="24"/>
        </w:rPr>
      </w:pPr>
      <w:r w:rsidRPr="006259AF">
        <w:rPr>
          <w:noProof/>
          <w:sz w:val="24"/>
          <w:szCs w:val="24"/>
        </w:rPr>
        <w:t xml:space="preserve">Clark, M. S., Thorne, M.A.S., Amaral, A., Vieira, F., Batista, F. M., Reis, J., and Power, D. M. (2013). Identification of molecular and physiological responses to chronic environmental challenge in an invasive species: the Pacific oyster, Crassostrea gigas. </w:t>
      </w:r>
      <w:r w:rsidRPr="006259AF">
        <w:rPr>
          <w:i/>
          <w:iCs/>
          <w:noProof/>
          <w:sz w:val="24"/>
          <w:szCs w:val="24"/>
        </w:rPr>
        <w:t>Ecology and evolution</w:t>
      </w:r>
      <w:r w:rsidRPr="006259AF">
        <w:rPr>
          <w:noProof/>
          <w:sz w:val="24"/>
          <w:szCs w:val="24"/>
        </w:rPr>
        <w:t xml:space="preserve">, </w:t>
      </w:r>
      <w:r w:rsidRPr="006259AF">
        <w:rPr>
          <w:iCs/>
          <w:noProof/>
          <w:sz w:val="24"/>
          <w:szCs w:val="24"/>
        </w:rPr>
        <w:t>3</w:t>
      </w:r>
      <w:r w:rsidRPr="006259AF">
        <w:rPr>
          <w:noProof/>
          <w:sz w:val="24"/>
          <w:szCs w:val="24"/>
        </w:rPr>
        <w:t>(10), 3283–97. doi:10.1002/ece3.719</w:t>
      </w:r>
    </w:p>
    <w:p w14:paraId="3774D307" w14:textId="77777777" w:rsidR="006259AF" w:rsidRPr="006259AF" w:rsidRDefault="006259AF" w:rsidP="006259AF">
      <w:pPr>
        <w:pStyle w:val="NormalWeb"/>
        <w:ind w:left="720" w:hanging="720"/>
        <w:rPr>
          <w:noProof/>
          <w:sz w:val="24"/>
          <w:szCs w:val="24"/>
        </w:rPr>
      </w:pPr>
      <w:r w:rsidRPr="006259AF">
        <w:rPr>
          <w:noProof/>
          <w:sz w:val="24"/>
          <w:szCs w:val="24"/>
        </w:rPr>
        <w:t xml:space="preserve">Clegg, J. S., Uhlinger, K. R., and Jackson, S. A. (2009). Induced thermotolerance and the heat shock protein – 70 family in the Pacific oyster Crassostrea gigas, </w:t>
      </w:r>
      <w:r w:rsidRPr="006259AF">
        <w:rPr>
          <w:iCs/>
          <w:noProof/>
          <w:sz w:val="24"/>
          <w:szCs w:val="24"/>
        </w:rPr>
        <w:t>7</w:t>
      </w:r>
      <w:r w:rsidRPr="006259AF">
        <w:rPr>
          <w:noProof/>
          <w:sz w:val="24"/>
          <w:szCs w:val="24"/>
        </w:rPr>
        <w:t>(1998), 21–30.</w:t>
      </w:r>
    </w:p>
    <w:p w14:paraId="17D09780" w14:textId="77777777" w:rsidR="006259AF" w:rsidRPr="006259AF" w:rsidRDefault="006259AF" w:rsidP="006259AF">
      <w:pPr>
        <w:pStyle w:val="NormalWeb"/>
        <w:ind w:left="720" w:hanging="720"/>
        <w:rPr>
          <w:noProof/>
          <w:sz w:val="24"/>
          <w:szCs w:val="24"/>
        </w:rPr>
      </w:pPr>
      <w:r w:rsidRPr="006259AF">
        <w:rPr>
          <w:noProof/>
          <w:sz w:val="24"/>
          <w:szCs w:val="24"/>
        </w:rPr>
        <w:t>Dean, J. B. (2010). Hypercapnia causes cellular oxidation and nitrosation in addition to acidosis</w:t>
      </w:r>
      <w:r w:rsidRPr="006259AF">
        <w:rPr>
          <w:rFonts w:ascii="Times New Roman" w:hAnsi="Times New Roman"/>
          <w:noProof/>
          <w:sz w:val="24"/>
          <w:szCs w:val="24"/>
        </w:rPr>
        <w:t> </w:t>
      </w:r>
      <w:r w:rsidRPr="006259AF">
        <w:rPr>
          <w:noProof/>
          <w:sz w:val="24"/>
          <w:szCs w:val="24"/>
        </w:rPr>
        <w:t>: implications for CO</w:t>
      </w:r>
      <w:r w:rsidRPr="006259AF">
        <w:rPr>
          <w:noProof/>
          <w:sz w:val="24"/>
          <w:szCs w:val="24"/>
          <w:vertAlign w:val="subscript"/>
        </w:rPr>
        <w:t>2</w:t>
      </w:r>
      <w:r w:rsidRPr="006259AF">
        <w:rPr>
          <w:noProof/>
          <w:sz w:val="24"/>
          <w:szCs w:val="24"/>
        </w:rPr>
        <w:t xml:space="preserve"> chemoreceptor function and dysfunction. </w:t>
      </w:r>
      <w:r w:rsidRPr="006259AF">
        <w:rPr>
          <w:i/>
          <w:noProof/>
          <w:sz w:val="24"/>
          <w:szCs w:val="24"/>
        </w:rPr>
        <w:t>Journal of Applied Physiology</w:t>
      </w:r>
      <w:r w:rsidRPr="006259AF">
        <w:rPr>
          <w:noProof/>
          <w:sz w:val="24"/>
          <w:szCs w:val="24"/>
        </w:rPr>
        <w:t>, 108, 1786–1795. doi:10.1152/japplphysiol.01337.2009.</w:t>
      </w:r>
    </w:p>
    <w:p w14:paraId="3850C8D1" w14:textId="77777777" w:rsidR="006259AF" w:rsidRPr="006259AF" w:rsidRDefault="006259AF" w:rsidP="006259AF">
      <w:pPr>
        <w:pStyle w:val="NormalWeb"/>
        <w:ind w:left="720" w:hanging="720"/>
        <w:rPr>
          <w:noProof/>
          <w:sz w:val="24"/>
          <w:szCs w:val="24"/>
        </w:rPr>
      </w:pPr>
      <w:r w:rsidRPr="006259AF">
        <w:rPr>
          <w:noProof/>
          <w:sz w:val="24"/>
          <w:szCs w:val="24"/>
        </w:rPr>
        <w:t>Dabney, A. and Storey, J.D. and with assistance from Warnes, G.R. (). qvalue: Q-value estimation for false discovery rate control. R package version 1.34.0.</w:t>
      </w:r>
    </w:p>
    <w:p w14:paraId="0E34C010" w14:textId="77777777" w:rsidR="006259AF" w:rsidRPr="006259AF" w:rsidRDefault="006259AF" w:rsidP="006259AF">
      <w:pPr>
        <w:pStyle w:val="NormalWeb"/>
        <w:ind w:left="720" w:hanging="720"/>
        <w:rPr>
          <w:noProof/>
          <w:sz w:val="24"/>
          <w:szCs w:val="24"/>
        </w:rPr>
      </w:pPr>
      <w:r w:rsidRPr="006259AF">
        <w:rPr>
          <w:noProof/>
          <w:sz w:val="24"/>
          <w:szCs w:val="24"/>
        </w:rPr>
        <w:t>Dickinson, G. H., Ivanina, A. V, Matoo, O. B., Pörtner, H. O., Lannig, G., Bock, C., Bock, C., Beniash, E., and Sokolova, I. M. (2012). Interactive effects of salinity and elevated CO</w:t>
      </w:r>
      <w:r w:rsidRPr="006259AF">
        <w:rPr>
          <w:noProof/>
          <w:sz w:val="24"/>
          <w:szCs w:val="24"/>
          <w:vertAlign w:val="subscript"/>
        </w:rPr>
        <w:t>2</w:t>
      </w:r>
      <w:r w:rsidRPr="006259AF">
        <w:rPr>
          <w:noProof/>
          <w:sz w:val="24"/>
          <w:szCs w:val="24"/>
        </w:rPr>
        <w:t xml:space="preserve"> levels on juvenile eastern oysters, Crassostrea virginica. </w:t>
      </w:r>
      <w:r w:rsidRPr="006259AF">
        <w:rPr>
          <w:i/>
          <w:iCs/>
          <w:noProof/>
          <w:sz w:val="24"/>
          <w:szCs w:val="24"/>
        </w:rPr>
        <w:t>The Journal of experimental biology</w:t>
      </w:r>
      <w:r w:rsidRPr="006259AF">
        <w:rPr>
          <w:noProof/>
          <w:sz w:val="24"/>
          <w:szCs w:val="24"/>
        </w:rPr>
        <w:t xml:space="preserve">, </w:t>
      </w:r>
      <w:r w:rsidRPr="006259AF">
        <w:rPr>
          <w:iCs/>
          <w:noProof/>
          <w:sz w:val="24"/>
          <w:szCs w:val="24"/>
        </w:rPr>
        <w:t>215</w:t>
      </w:r>
      <w:r w:rsidRPr="006259AF">
        <w:rPr>
          <w:noProof/>
          <w:sz w:val="24"/>
          <w:szCs w:val="24"/>
        </w:rPr>
        <w:t>(1), 29–43. doi:10.1242/jeb.061481</w:t>
      </w:r>
    </w:p>
    <w:p w14:paraId="18B8D9E4" w14:textId="77777777" w:rsidR="006259AF" w:rsidRPr="006259AF" w:rsidRDefault="006259AF" w:rsidP="006259AF">
      <w:pPr>
        <w:pStyle w:val="NormalWeb"/>
        <w:ind w:left="720" w:hanging="720"/>
        <w:rPr>
          <w:noProof/>
          <w:sz w:val="24"/>
          <w:szCs w:val="24"/>
        </w:rPr>
      </w:pPr>
      <w:r w:rsidRPr="006259AF">
        <w:rPr>
          <w:noProof/>
          <w:sz w:val="24"/>
          <w:szCs w:val="24"/>
        </w:rPr>
        <w:t>Dickinson, G. H., Matoo, O. B., Tourek, R. T., Sokolova, I. M., and Beniash, E. (2013). Environmental salinity modulates the effects of elevated CO</w:t>
      </w:r>
      <w:r w:rsidRPr="006259AF">
        <w:rPr>
          <w:noProof/>
          <w:sz w:val="24"/>
          <w:szCs w:val="24"/>
          <w:vertAlign w:val="subscript"/>
        </w:rPr>
        <w:t>2</w:t>
      </w:r>
      <w:r w:rsidRPr="006259AF">
        <w:rPr>
          <w:noProof/>
          <w:sz w:val="24"/>
          <w:szCs w:val="24"/>
        </w:rPr>
        <w:t xml:space="preserve"> levels on juvenile hard-shell clams, Mercenaria mercenaria. </w:t>
      </w:r>
      <w:r w:rsidRPr="006259AF">
        <w:rPr>
          <w:i/>
          <w:iCs/>
          <w:noProof/>
          <w:sz w:val="24"/>
          <w:szCs w:val="24"/>
        </w:rPr>
        <w:t>The Journal of experimental biology</w:t>
      </w:r>
      <w:r w:rsidRPr="006259AF">
        <w:rPr>
          <w:noProof/>
          <w:sz w:val="24"/>
          <w:szCs w:val="24"/>
        </w:rPr>
        <w:t xml:space="preserve">, </w:t>
      </w:r>
      <w:r w:rsidRPr="006259AF">
        <w:rPr>
          <w:iCs/>
          <w:noProof/>
          <w:sz w:val="24"/>
          <w:szCs w:val="24"/>
        </w:rPr>
        <w:t>216</w:t>
      </w:r>
      <w:r w:rsidRPr="006259AF">
        <w:rPr>
          <w:noProof/>
          <w:sz w:val="24"/>
          <w:szCs w:val="24"/>
        </w:rPr>
        <w:t xml:space="preserve">(14), 2607–18. doi:10.1242/jeb.082909Dineshram, R., Thiyagarajan, V., Lane, A., Ziniu, Y., Xiao, S., &amp; Leung, P. T. Y. (2013). Elevated CO2 alters larval proteome and its phosphorylation status in the commercial oyster, Crassostrea hongkongensis. </w:t>
      </w:r>
      <w:r w:rsidRPr="006259AF">
        <w:rPr>
          <w:i/>
          <w:iCs/>
          <w:noProof/>
          <w:sz w:val="24"/>
          <w:szCs w:val="24"/>
        </w:rPr>
        <w:t>Marine Biology</w:t>
      </w:r>
      <w:r w:rsidRPr="006259AF">
        <w:rPr>
          <w:noProof/>
          <w:sz w:val="24"/>
          <w:szCs w:val="24"/>
        </w:rPr>
        <w:t xml:space="preserve">, </w:t>
      </w:r>
      <w:r w:rsidRPr="006259AF">
        <w:rPr>
          <w:i/>
          <w:iCs/>
          <w:noProof/>
          <w:sz w:val="24"/>
          <w:szCs w:val="24"/>
        </w:rPr>
        <w:t>160</w:t>
      </w:r>
      <w:r w:rsidRPr="006259AF">
        <w:rPr>
          <w:noProof/>
          <w:sz w:val="24"/>
          <w:szCs w:val="24"/>
        </w:rPr>
        <w:t>(8), 2189–2205. doi:10.1007/s00227-013-2176-x</w:t>
      </w:r>
    </w:p>
    <w:p w14:paraId="068BBC86" w14:textId="77777777" w:rsidR="006259AF" w:rsidRPr="006259AF" w:rsidRDefault="006259AF" w:rsidP="006259AF">
      <w:pPr>
        <w:pStyle w:val="NormalWeb"/>
        <w:ind w:left="720" w:hanging="720"/>
        <w:rPr>
          <w:noProof/>
          <w:sz w:val="24"/>
          <w:szCs w:val="24"/>
        </w:rPr>
      </w:pPr>
      <w:r w:rsidRPr="006259AF">
        <w:rPr>
          <w:noProof/>
          <w:sz w:val="24"/>
          <w:szCs w:val="24"/>
        </w:rPr>
        <w:t>Dickson, A.G., Sabine, C.L., and Christian, J.R. (Eds.) (2007). Guide to best practices for ocean CO</w:t>
      </w:r>
      <w:r w:rsidRPr="006259AF">
        <w:rPr>
          <w:noProof/>
          <w:sz w:val="24"/>
          <w:szCs w:val="24"/>
          <w:vertAlign w:val="subscript"/>
        </w:rPr>
        <w:t xml:space="preserve">2 </w:t>
      </w:r>
      <w:r w:rsidRPr="006259AF">
        <w:rPr>
          <w:noProof/>
          <w:sz w:val="24"/>
          <w:szCs w:val="24"/>
        </w:rPr>
        <w:t>measurements. PICES Special Publication 3, 191 pp.</w:t>
      </w:r>
    </w:p>
    <w:p w14:paraId="39CC191A" w14:textId="77777777" w:rsidR="006259AF" w:rsidRPr="006259AF" w:rsidRDefault="006259AF" w:rsidP="006259AF">
      <w:pPr>
        <w:pStyle w:val="NormalWeb"/>
        <w:ind w:left="720" w:hanging="720"/>
        <w:rPr>
          <w:noProof/>
          <w:sz w:val="24"/>
          <w:szCs w:val="24"/>
        </w:rPr>
      </w:pPr>
      <w:r w:rsidRPr="006259AF">
        <w:rPr>
          <w:noProof/>
          <w:sz w:val="24"/>
          <w:szCs w:val="24"/>
        </w:rPr>
        <w:t>Dineshram, R., Wong, K. K. W., Xiao, S., Yu, Z., Qian, P. Y., and Thiyagarajan, V. (2012). Analysis of Pacific oyster larval proteome and its response to high-CO</w:t>
      </w:r>
      <w:r w:rsidRPr="006259AF">
        <w:rPr>
          <w:noProof/>
          <w:sz w:val="24"/>
          <w:szCs w:val="24"/>
          <w:vertAlign w:val="subscript"/>
        </w:rPr>
        <w:t>2</w:t>
      </w:r>
      <w:r w:rsidRPr="006259AF">
        <w:rPr>
          <w:noProof/>
          <w:sz w:val="24"/>
          <w:szCs w:val="24"/>
        </w:rPr>
        <w:t xml:space="preserve">. </w:t>
      </w:r>
      <w:r w:rsidRPr="006259AF">
        <w:rPr>
          <w:i/>
          <w:iCs/>
          <w:noProof/>
          <w:sz w:val="24"/>
          <w:szCs w:val="24"/>
        </w:rPr>
        <w:t>Marine pollution bulletin</w:t>
      </w:r>
      <w:r w:rsidRPr="006259AF">
        <w:rPr>
          <w:noProof/>
          <w:sz w:val="24"/>
          <w:szCs w:val="24"/>
        </w:rPr>
        <w:t xml:space="preserve">, </w:t>
      </w:r>
      <w:r w:rsidRPr="006259AF">
        <w:rPr>
          <w:iCs/>
          <w:noProof/>
          <w:sz w:val="24"/>
          <w:szCs w:val="24"/>
        </w:rPr>
        <w:t>64</w:t>
      </w:r>
      <w:r w:rsidRPr="006259AF">
        <w:rPr>
          <w:noProof/>
          <w:sz w:val="24"/>
          <w:szCs w:val="24"/>
        </w:rPr>
        <w:t>(10), 2160–7. doi:10.1016/j.marpolbul.2012.07.043</w:t>
      </w:r>
    </w:p>
    <w:p w14:paraId="65EBCBAA" w14:textId="77777777" w:rsidR="006259AF" w:rsidRPr="006259AF" w:rsidRDefault="006259AF" w:rsidP="006259AF">
      <w:pPr>
        <w:pStyle w:val="NormalWeb"/>
        <w:ind w:left="720" w:hanging="720"/>
        <w:rPr>
          <w:noProof/>
          <w:sz w:val="24"/>
          <w:szCs w:val="24"/>
        </w:rPr>
      </w:pPr>
      <w:r w:rsidRPr="006259AF">
        <w:rPr>
          <w:noProof/>
          <w:sz w:val="24"/>
          <w:szCs w:val="24"/>
        </w:rPr>
        <w:t xml:space="preserve">Duarte, C. M., Hendriks, I. E., Moore, T. S., Olsen, Y. S., Steckbauer, A., Ramajo, L., Carstensen, J., Trotter, J.A., and McCulloch, M. (2013). Is Ocean Acidification an Open-Ocean Syndrome? Understanding Anthropogenic Impacts on Seawater pH. </w:t>
      </w:r>
      <w:r w:rsidRPr="006259AF">
        <w:rPr>
          <w:i/>
          <w:iCs/>
          <w:noProof/>
          <w:sz w:val="24"/>
          <w:szCs w:val="24"/>
        </w:rPr>
        <w:t>Estuaries and Coasts</w:t>
      </w:r>
      <w:r w:rsidRPr="006259AF">
        <w:rPr>
          <w:noProof/>
          <w:sz w:val="24"/>
          <w:szCs w:val="24"/>
        </w:rPr>
        <w:t xml:space="preserve">, </w:t>
      </w:r>
      <w:r w:rsidRPr="006259AF">
        <w:rPr>
          <w:iCs/>
          <w:noProof/>
          <w:sz w:val="24"/>
          <w:szCs w:val="24"/>
        </w:rPr>
        <w:t>36</w:t>
      </w:r>
      <w:r w:rsidRPr="006259AF">
        <w:rPr>
          <w:noProof/>
          <w:sz w:val="24"/>
          <w:szCs w:val="24"/>
        </w:rPr>
        <w:t>(2), 221–236. doi:10.1007/s12237-013-9594-3</w:t>
      </w:r>
    </w:p>
    <w:p w14:paraId="21F13511" w14:textId="77777777" w:rsidR="006259AF" w:rsidRPr="006259AF" w:rsidRDefault="006259AF" w:rsidP="006259AF">
      <w:pPr>
        <w:pStyle w:val="NormalWeb"/>
        <w:ind w:left="720" w:hanging="720"/>
        <w:rPr>
          <w:noProof/>
          <w:sz w:val="24"/>
          <w:szCs w:val="24"/>
        </w:rPr>
      </w:pPr>
      <w:r w:rsidRPr="006259AF">
        <w:rPr>
          <w:noProof/>
          <w:sz w:val="24"/>
          <w:szCs w:val="24"/>
        </w:rPr>
        <w:t xml:space="preserve">Eng, J. K., Fischer, B., Grossmann, J., and Maccoss, M. J. (2008). A fast SEQUEST cross correlation algorithm. </w:t>
      </w:r>
      <w:r w:rsidRPr="006259AF">
        <w:rPr>
          <w:i/>
          <w:iCs/>
          <w:noProof/>
          <w:sz w:val="24"/>
          <w:szCs w:val="24"/>
        </w:rPr>
        <w:t>Journal of proteome research</w:t>
      </w:r>
      <w:r w:rsidRPr="006259AF">
        <w:rPr>
          <w:noProof/>
          <w:sz w:val="24"/>
          <w:szCs w:val="24"/>
        </w:rPr>
        <w:t xml:space="preserve">, </w:t>
      </w:r>
      <w:r w:rsidRPr="006259AF">
        <w:rPr>
          <w:iCs/>
          <w:noProof/>
          <w:sz w:val="24"/>
          <w:szCs w:val="24"/>
        </w:rPr>
        <w:t>7</w:t>
      </w:r>
      <w:r w:rsidRPr="006259AF">
        <w:rPr>
          <w:noProof/>
          <w:sz w:val="24"/>
          <w:szCs w:val="24"/>
        </w:rPr>
        <w:t>(10), 4598–602. doi:10.1021/pr800420s</w:t>
      </w:r>
    </w:p>
    <w:p w14:paraId="3D8D8DC4" w14:textId="77777777" w:rsidR="006259AF" w:rsidRPr="006259AF" w:rsidRDefault="006259AF" w:rsidP="006259AF">
      <w:pPr>
        <w:pStyle w:val="NormalWeb"/>
        <w:ind w:left="720" w:hanging="720"/>
        <w:rPr>
          <w:noProof/>
          <w:sz w:val="24"/>
          <w:szCs w:val="24"/>
        </w:rPr>
      </w:pPr>
      <w:r w:rsidRPr="006259AF">
        <w:rPr>
          <w:noProof/>
          <w:sz w:val="24"/>
          <w:szCs w:val="24"/>
        </w:rPr>
        <w:t xml:space="preserve">Eng, J. K., Mccormack, A. L., and Yates, J. R. (1994). An Approach to correlate tandem mass spectral data of peptides with amino acid sequences in a protein database. </w:t>
      </w:r>
      <w:r w:rsidRPr="006259AF">
        <w:rPr>
          <w:i/>
          <w:iCs/>
          <w:noProof/>
          <w:sz w:val="24"/>
          <w:szCs w:val="24"/>
        </w:rPr>
        <w:t>Journal of the American Society of Mass Spectrometry</w:t>
      </w:r>
      <w:r w:rsidRPr="006259AF">
        <w:rPr>
          <w:noProof/>
          <w:sz w:val="24"/>
          <w:szCs w:val="24"/>
        </w:rPr>
        <w:t xml:space="preserve">, </w:t>
      </w:r>
      <w:r w:rsidRPr="006259AF">
        <w:rPr>
          <w:iCs/>
          <w:noProof/>
          <w:sz w:val="24"/>
          <w:szCs w:val="24"/>
        </w:rPr>
        <w:t>5</w:t>
      </w:r>
      <w:r w:rsidRPr="006259AF">
        <w:rPr>
          <w:noProof/>
          <w:sz w:val="24"/>
          <w:szCs w:val="24"/>
        </w:rPr>
        <w:t>, 976–989.</w:t>
      </w:r>
    </w:p>
    <w:p w14:paraId="7A8461B4" w14:textId="77777777" w:rsidR="006259AF" w:rsidRPr="006259AF" w:rsidRDefault="006259AF" w:rsidP="006259AF">
      <w:pPr>
        <w:pStyle w:val="normal0"/>
        <w:spacing w:line="240" w:lineRule="auto"/>
        <w:ind w:left="720" w:hanging="720"/>
        <w:rPr>
          <w:rFonts w:ascii="Times" w:hAnsi="Times"/>
          <w:sz w:val="24"/>
        </w:rPr>
      </w:pPr>
      <w:r w:rsidRPr="006259AF">
        <w:rPr>
          <w:rFonts w:ascii="Times" w:hAnsi="Times"/>
          <w:sz w:val="24"/>
        </w:rPr>
        <w:t>Fang, X., Li, L., Luo, R., Xu, F., Wang, X., Zhu, Y., Yang, L., and Huang, Z. (2012). Genomic data from the Pacific oyster (Crassostrea gigas). GigaScience. http://dx.doi.org/10.5524/100030</w:t>
      </w:r>
    </w:p>
    <w:p w14:paraId="43A53DDC" w14:textId="77777777" w:rsidR="006259AF" w:rsidRPr="006259AF" w:rsidRDefault="006259AF" w:rsidP="006259AF">
      <w:pPr>
        <w:pStyle w:val="NormalWeb"/>
        <w:ind w:left="720" w:hanging="720"/>
        <w:rPr>
          <w:noProof/>
          <w:sz w:val="24"/>
          <w:szCs w:val="24"/>
        </w:rPr>
      </w:pPr>
      <w:r w:rsidRPr="006259AF">
        <w:rPr>
          <w:noProof/>
          <w:sz w:val="24"/>
          <w:szCs w:val="24"/>
        </w:rPr>
        <w:t xml:space="preserve">Feely, R.A., Alin, S. R., Newton, J., Sabine, C. L., Warner, M., Devol, A., Krembs, C., and Maloy, C. (2010). The combined effects of ocean acidification, mixing, and respiration on pH and carbonate saturation in an urbanized estuary. </w:t>
      </w:r>
      <w:r w:rsidRPr="006259AF">
        <w:rPr>
          <w:i/>
          <w:iCs/>
          <w:noProof/>
          <w:sz w:val="24"/>
          <w:szCs w:val="24"/>
        </w:rPr>
        <w:t>Estuarine, Coastal and Shelf Science</w:t>
      </w:r>
      <w:r w:rsidRPr="006259AF">
        <w:rPr>
          <w:noProof/>
          <w:sz w:val="24"/>
          <w:szCs w:val="24"/>
        </w:rPr>
        <w:t xml:space="preserve">, </w:t>
      </w:r>
      <w:r w:rsidRPr="006259AF">
        <w:rPr>
          <w:iCs/>
          <w:noProof/>
          <w:sz w:val="24"/>
          <w:szCs w:val="24"/>
        </w:rPr>
        <w:t>88</w:t>
      </w:r>
      <w:r w:rsidRPr="006259AF">
        <w:rPr>
          <w:noProof/>
          <w:sz w:val="24"/>
          <w:szCs w:val="24"/>
        </w:rPr>
        <w:t>(4), 442–449. doi:10.1016/j.ecss.2010.05.004</w:t>
      </w:r>
    </w:p>
    <w:p w14:paraId="35430A59" w14:textId="77777777" w:rsidR="006259AF" w:rsidRPr="006259AF" w:rsidRDefault="006259AF" w:rsidP="006259AF">
      <w:pPr>
        <w:pStyle w:val="NormalWeb"/>
        <w:ind w:left="720" w:hanging="720"/>
        <w:rPr>
          <w:noProof/>
          <w:sz w:val="24"/>
          <w:szCs w:val="24"/>
        </w:rPr>
      </w:pPr>
      <w:r w:rsidRPr="006259AF">
        <w:rPr>
          <w:noProof/>
          <w:sz w:val="24"/>
          <w:szCs w:val="24"/>
        </w:rPr>
        <w:t xml:space="preserve">Feely, R.A., Sabine, C. L., Byrne, R. H., Millero, F. J., Dickson, A. G., Wanninkhof, R., Murata, A., Miler, L.A., and Greeley, D. (2012). Decadal changes in the aragonite and calcite saturation state of the Pacific Ocean. </w:t>
      </w:r>
      <w:r w:rsidRPr="006259AF">
        <w:rPr>
          <w:i/>
          <w:iCs/>
          <w:noProof/>
          <w:sz w:val="24"/>
          <w:szCs w:val="24"/>
        </w:rPr>
        <w:t>Global Biogeochemical Cycles</w:t>
      </w:r>
      <w:r w:rsidRPr="006259AF">
        <w:rPr>
          <w:noProof/>
          <w:sz w:val="24"/>
          <w:szCs w:val="24"/>
        </w:rPr>
        <w:t xml:space="preserve">, </w:t>
      </w:r>
      <w:r w:rsidRPr="006259AF">
        <w:rPr>
          <w:iCs/>
          <w:noProof/>
          <w:sz w:val="24"/>
          <w:szCs w:val="24"/>
        </w:rPr>
        <w:t>26</w:t>
      </w:r>
      <w:r w:rsidRPr="006259AF">
        <w:rPr>
          <w:noProof/>
          <w:sz w:val="24"/>
          <w:szCs w:val="24"/>
        </w:rPr>
        <w:t>(3), GB3001. doi:10.1029/2011GB004157</w:t>
      </w:r>
    </w:p>
    <w:p w14:paraId="67F0C19C" w14:textId="77777777" w:rsidR="006259AF" w:rsidRPr="006259AF" w:rsidRDefault="006259AF" w:rsidP="006259AF">
      <w:pPr>
        <w:pStyle w:val="NormalWeb"/>
        <w:ind w:left="720" w:hanging="720"/>
        <w:rPr>
          <w:noProof/>
          <w:sz w:val="24"/>
          <w:szCs w:val="24"/>
        </w:rPr>
      </w:pPr>
      <w:r w:rsidRPr="006259AF">
        <w:rPr>
          <w:noProof/>
          <w:sz w:val="24"/>
          <w:szCs w:val="24"/>
        </w:rPr>
        <w:t xml:space="preserve">Florens, L., Carozza, M. J., Swanson, S. K., Fournier, M., Coleman, M. K., Workman, J. L., &amp; Washburn, M. P. (2006). Analyzing chromatin remodeling complexes using shotgun proteomics and normalized spectral abundance factors. </w:t>
      </w:r>
      <w:r w:rsidRPr="006259AF">
        <w:rPr>
          <w:i/>
          <w:iCs/>
          <w:noProof/>
          <w:sz w:val="24"/>
          <w:szCs w:val="24"/>
        </w:rPr>
        <w:t>Methods</w:t>
      </w:r>
      <w:r w:rsidRPr="006259AF">
        <w:rPr>
          <w:noProof/>
          <w:sz w:val="24"/>
          <w:szCs w:val="24"/>
        </w:rPr>
        <w:t xml:space="preserve">, </w:t>
      </w:r>
      <w:r w:rsidRPr="006259AF">
        <w:rPr>
          <w:iCs/>
          <w:noProof/>
          <w:sz w:val="24"/>
          <w:szCs w:val="24"/>
        </w:rPr>
        <w:t>40</w:t>
      </w:r>
      <w:r w:rsidRPr="006259AF">
        <w:rPr>
          <w:noProof/>
          <w:sz w:val="24"/>
          <w:szCs w:val="24"/>
        </w:rPr>
        <w:t>(4), 303–11. doi:10.1016/j.ymeth.2006.07.028</w:t>
      </w:r>
    </w:p>
    <w:p w14:paraId="1A40703D" w14:textId="77777777" w:rsidR="006259AF" w:rsidRPr="006259AF" w:rsidRDefault="006259AF" w:rsidP="006259AF">
      <w:pPr>
        <w:pStyle w:val="NormalWeb"/>
        <w:ind w:left="720" w:hanging="720"/>
        <w:rPr>
          <w:noProof/>
          <w:sz w:val="24"/>
          <w:szCs w:val="24"/>
        </w:rPr>
      </w:pPr>
      <w:r w:rsidRPr="006259AF">
        <w:rPr>
          <w:noProof/>
          <w:sz w:val="24"/>
          <w:szCs w:val="24"/>
        </w:rPr>
        <w:t xml:space="preserve">Friedrich, T., Timmermann, A., Bates, N. R., Chikamoto, M. O., Church, M. J., Dore, J. E.,  Gledhill, D.K., González-Dávila, M., Heinemann, M., et al. (2012). Detecting regional anthropogenic trends in ocean acidification against natural variability, </w:t>
      </w:r>
      <w:r w:rsidRPr="006259AF">
        <w:rPr>
          <w:iCs/>
          <w:noProof/>
          <w:sz w:val="24"/>
          <w:szCs w:val="24"/>
        </w:rPr>
        <w:t>2</w:t>
      </w:r>
      <w:r w:rsidRPr="006259AF">
        <w:rPr>
          <w:noProof/>
          <w:sz w:val="24"/>
          <w:szCs w:val="24"/>
        </w:rPr>
        <w:t>, 167–171. doi:10.1038/NCLIMATE1372</w:t>
      </w:r>
    </w:p>
    <w:p w14:paraId="351EA396" w14:textId="77777777" w:rsidR="006259AF" w:rsidRPr="006259AF" w:rsidRDefault="006259AF" w:rsidP="006259AF">
      <w:pPr>
        <w:pStyle w:val="NormalWeb"/>
        <w:ind w:left="720" w:hanging="720"/>
        <w:rPr>
          <w:noProof/>
          <w:sz w:val="24"/>
          <w:szCs w:val="24"/>
        </w:rPr>
      </w:pPr>
      <w:r w:rsidRPr="006259AF">
        <w:rPr>
          <w:noProof/>
          <w:sz w:val="24"/>
          <w:szCs w:val="24"/>
        </w:rPr>
        <w:t xml:space="preserve">Galloway, A. W. E., Britton-Simmons, K. H., Duggins, D. O., Gabrielson, P. W., and Brett, M. T. (2012). Fatty Acid Signatures Differentiate Marine Macrophytes At Ordinal and Family Ranks1. </w:t>
      </w:r>
      <w:r w:rsidRPr="006259AF">
        <w:rPr>
          <w:i/>
          <w:iCs/>
          <w:noProof/>
          <w:sz w:val="24"/>
          <w:szCs w:val="24"/>
        </w:rPr>
        <w:t>Journal of Phycology</w:t>
      </w:r>
      <w:r w:rsidRPr="006259AF">
        <w:rPr>
          <w:noProof/>
          <w:sz w:val="24"/>
          <w:szCs w:val="24"/>
        </w:rPr>
        <w:t xml:space="preserve">, </w:t>
      </w:r>
      <w:r w:rsidRPr="006259AF">
        <w:rPr>
          <w:iCs/>
          <w:noProof/>
          <w:sz w:val="24"/>
          <w:szCs w:val="24"/>
        </w:rPr>
        <w:t>48</w:t>
      </w:r>
      <w:r w:rsidRPr="006259AF">
        <w:rPr>
          <w:noProof/>
          <w:sz w:val="24"/>
          <w:szCs w:val="24"/>
        </w:rPr>
        <w:t>(4), 956–965. doi:10.1111/j.1529-8817.2012.01173.x</w:t>
      </w:r>
    </w:p>
    <w:p w14:paraId="737679A5" w14:textId="77777777" w:rsidR="006259AF" w:rsidRPr="006259AF" w:rsidRDefault="006259AF" w:rsidP="006259AF">
      <w:pPr>
        <w:pStyle w:val="NormalWeb"/>
        <w:ind w:left="720" w:hanging="720"/>
        <w:rPr>
          <w:noProof/>
          <w:sz w:val="24"/>
          <w:szCs w:val="24"/>
        </w:rPr>
      </w:pPr>
      <w:r w:rsidRPr="006259AF">
        <w:rPr>
          <w:noProof/>
          <w:sz w:val="24"/>
          <w:szCs w:val="24"/>
        </w:rPr>
        <w:t xml:space="preserve">Gazeau, F., Gattuso, J.-P., Greaves, M., Elderfield, H., Peene, J., Heip, C. H. R., and Middelburg, J. J. (2011). Effect of carbonate chemistry alteration on the early embryonic development of the Pacific oyster (Crassostrea gigas). </w:t>
      </w:r>
      <w:r w:rsidRPr="006259AF">
        <w:rPr>
          <w:i/>
          <w:iCs/>
          <w:noProof/>
          <w:sz w:val="24"/>
          <w:szCs w:val="24"/>
        </w:rPr>
        <w:t>PloS one</w:t>
      </w:r>
      <w:r w:rsidRPr="006259AF">
        <w:rPr>
          <w:noProof/>
          <w:sz w:val="24"/>
          <w:szCs w:val="24"/>
        </w:rPr>
        <w:t xml:space="preserve">, </w:t>
      </w:r>
      <w:r w:rsidRPr="006259AF">
        <w:rPr>
          <w:iCs/>
          <w:noProof/>
          <w:sz w:val="24"/>
          <w:szCs w:val="24"/>
        </w:rPr>
        <w:t>6</w:t>
      </w:r>
      <w:r w:rsidRPr="006259AF">
        <w:rPr>
          <w:noProof/>
          <w:sz w:val="24"/>
          <w:szCs w:val="24"/>
        </w:rPr>
        <w:t>(8), e23010. doi:10.1371/journal.pone.0023010</w:t>
      </w:r>
    </w:p>
    <w:p w14:paraId="2325AC13" w14:textId="77777777" w:rsidR="006259AF" w:rsidRPr="006259AF" w:rsidRDefault="006259AF" w:rsidP="006259AF">
      <w:pPr>
        <w:pStyle w:val="NormalWeb"/>
        <w:ind w:left="720" w:hanging="720"/>
        <w:rPr>
          <w:noProof/>
          <w:sz w:val="24"/>
          <w:szCs w:val="24"/>
        </w:rPr>
      </w:pPr>
      <w:r w:rsidRPr="006259AF">
        <w:rPr>
          <w:noProof/>
          <w:sz w:val="24"/>
          <w:szCs w:val="24"/>
        </w:rPr>
        <w:t>Gazeau, F., Quiblier, C., Jansen, J. M., Gattuso, J.-P., Middelburg, J. J., and Heip, C. H. R. (2007). Impact of elevated CO</w:t>
      </w:r>
      <w:r w:rsidRPr="006259AF">
        <w:rPr>
          <w:noProof/>
          <w:sz w:val="24"/>
          <w:szCs w:val="24"/>
          <w:vertAlign w:val="subscript"/>
        </w:rPr>
        <w:t>2</w:t>
      </w:r>
      <w:r w:rsidRPr="006259AF">
        <w:rPr>
          <w:noProof/>
          <w:sz w:val="24"/>
          <w:szCs w:val="24"/>
        </w:rPr>
        <w:t xml:space="preserve"> on shellfish calcification. </w:t>
      </w:r>
      <w:r w:rsidRPr="006259AF">
        <w:rPr>
          <w:i/>
          <w:iCs/>
          <w:noProof/>
          <w:sz w:val="24"/>
          <w:szCs w:val="24"/>
        </w:rPr>
        <w:t>Geophysical Research Letters</w:t>
      </w:r>
      <w:r w:rsidRPr="006259AF">
        <w:rPr>
          <w:noProof/>
          <w:sz w:val="24"/>
          <w:szCs w:val="24"/>
        </w:rPr>
        <w:t xml:space="preserve">, </w:t>
      </w:r>
      <w:r w:rsidRPr="006259AF">
        <w:rPr>
          <w:iCs/>
          <w:noProof/>
          <w:sz w:val="24"/>
          <w:szCs w:val="24"/>
        </w:rPr>
        <w:t>34</w:t>
      </w:r>
      <w:r w:rsidRPr="006259AF">
        <w:rPr>
          <w:noProof/>
          <w:sz w:val="24"/>
          <w:szCs w:val="24"/>
        </w:rPr>
        <w:t>(7), L07603. doi:10.1029/2006GL028554</w:t>
      </w:r>
    </w:p>
    <w:p w14:paraId="77471590" w14:textId="77777777" w:rsidR="006259AF" w:rsidRPr="006259AF" w:rsidRDefault="006259AF" w:rsidP="006259AF">
      <w:pPr>
        <w:pStyle w:val="NormalWeb"/>
        <w:ind w:left="720" w:hanging="720"/>
        <w:rPr>
          <w:noProof/>
          <w:sz w:val="24"/>
          <w:szCs w:val="24"/>
        </w:rPr>
      </w:pPr>
      <w:r w:rsidRPr="006259AF">
        <w:rPr>
          <w:noProof/>
          <w:sz w:val="24"/>
          <w:szCs w:val="24"/>
        </w:rPr>
        <w:t xml:space="preserve">Gruber, N., Hauri, C., Lachkar, Z., Loher, D., Frölicher, T. L., and Plattner, G.-K. (2012). Rapid progression of ocean acidification in the California Current System. </w:t>
      </w:r>
      <w:r w:rsidRPr="006259AF">
        <w:rPr>
          <w:i/>
          <w:iCs/>
          <w:noProof/>
          <w:sz w:val="24"/>
          <w:szCs w:val="24"/>
        </w:rPr>
        <w:t>Science</w:t>
      </w:r>
      <w:r w:rsidRPr="006259AF">
        <w:rPr>
          <w:noProof/>
          <w:sz w:val="24"/>
          <w:szCs w:val="24"/>
        </w:rPr>
        <w:t xml:space="preserve">, </w:t>
      </w:r>
      <w:r w:rsidRPr="006259AF">
        <w:rPr>
          <w:iCs/>
          <w:noProof/>
          <w:sz w:val="24"/>
          <w:szCs w:val="24"/>
        </w:rPr>
        <w:t>337</w:t>
      </w:r>
      <w:r w:rsidRPr="006259AF">
        <w:rPr>
          <w:noProof/>
          <w:sz w:val="24"/>
          <w:szCs w:val="24"/>
        </w:rPr>
        <w:t>(6091), 220–3. doi:10.1126/science.1216773</w:t>
      </w:r>
    </w:p>
    <w:p w14:paraId="7D132C25" w14:textId="77777777" w:rsidR="006259AF" w:rsidRPr="006259AF" w:rsidRDefault="006259AF" w:rsidP="006259AF">
      <w:pPr>
        <w:pStyle w:val="NormalWeb"/>
        <w:ind w:left="720" w:hanging="720"/>
        <w:rPr>
          <w:noProof/>
          <w:sz w:val="24"/>
          <w:szCs w:val="24"/>
        </w:rPr>
      </w:pPr>
      <w:r w:rsidRPr="006259AF">
        <w:rPr>
          <w:noProof/>
          <w:sz w:val="24"/>
          <w:szCs w:val="24"/>
        </w:rPr>
        <w:t xml:space="preserve">Hoffmann, W. A.,  and Poorter, H. (2002). Avoiding Bias in Calculations of Relative Growth Rate. </w:t>
      </w:r>
      <w:r w:rsidRPr="006259AF">
        <w:rPr>
          <w:i/>
          <w:iCs/>
          <w:noProof/>
          <w:sz w:val="24"/>
          <w:szCs w:val="24"/>
        </w:rPr>
        <w:t>Annals of Botany</w:t>
      </w:r>
      <w:r w:rsidRPr="006259AF">
        <w:rPr>
          <w:noProof/>
          <w:sz w:val="24"/>
          <w:szCs w:val="24"/>
        </w:rPr>
        <w:t xml:space="preserve">, </w:t>
      </w:r>
      <w:r w:rsidRPr="006259AF">
        <w:rPr>
          <w:iCs/>
          <w:noProof/>
          <w:sz w:val="24"/>
          <w:szCs w:val="24"/>
        </w:rPr>
        <w:t>90</w:t>
      </w:r>
      <w:r w:rsidRPr="006259AF">
        <w:rPr>
          <w:noProof/>
          <w:sz w:val="24"/>
          <w:szCs w:val="24"/>
        </w:rPr>
        <w:t>(1), 37–42. doi:10.1093/aob/mcf140</w:t>
      </w:r>
    </w:p>
    <w:p w14:paraId="63918AF0" w14:textId="77777777" w:rsidR="006259AF" w:rsidRPr="006259AF" w:rsidRDefault="006259AF" w:rsidP="006259AF">
      <w:pPr>
        <w:pStyle w:val="NormalWeb"/>
        <w:ind w:left="720" w:hanging="720"/>
        <w:rPr>
          <w:noProof/>
          <w:sz w:val="24"/>
          <w:szCs w:val="24"/>
        </w:rPr>
      </w:pPr>
      <w:r w:rsidRPr="006259AF">
        <w:rPr>
          <w:rFonts w:eastAsia="Times New Roman"/>
          <w:iCs/>
          <w:sz w:val="24"/>
          <w:szCs w:val="24"/>
        </w:rPr>
        <w:t>Howe, B., Cole, G., Souroush, E., Koutris, P., Key, A., Khoussainova, N., and Battle, L. (2011). Database-as-a-service for long-tail science. In </w:t>
      </w:r>
      <w:r w:rsidRPr="006259AF">
        <w:rPr>
          <w:rFonts w:eastAsia="Times New Roman"/>
          <w:i/>
          <w:iCs/>
          <w:sz w:val="24"/>
          <w:szCs w:val="24"/>
        </w:rPr>
        <w:t>Proceedings of the 23rd international conference on Scientific and statistical database management (SSDBM'11), Judith Bayard Cushing, James French, and Shawn Bowers</w:t>
      </w:r>
      <w:r w:rsidRPr="006259AF">
        <w:rPr>
          <w:rFonts w:eastAsia="Times New Roman"/>
          <w:iCs/>
          <w:sz w:val="24"/>
          <w:szCs w:val="24"/>
        </w:rPr>
        <w:t xml:space="preserve"> (ed. Springer-Verlag, Berlin), pp. 480-489. Heidelberg: Springer-Verlag.</w:t>
      </w:r>
    </w:p>
    <w:p w14:paraId="618C10FF" w14:textId="77777777" w:rsidR="006259AF" w:rsidRPr="006259AF" w:rsidRDefault="006259AF" w:rsidP="006259AF">
      <w:pPr>
        <w:pStyle w:val="NormalWeb"/>
        <w:ind w:left="720" w:hanging="720"/>
        <w:rPr>
          <w:noProof/>
          <w:sz w:val="24"/>
          <w:szCs w:val="24"/>
        </w:rPr>
      </w:pPr>
      <w:r w:rsidRPr="006259AF">
        <w:rPr>
          <w:noProof/>
          <w:sz w:val="24"/>
          <w:szCs w:val="24"/>
        </w:rPr>
        <w:t xml:space="preserve">Huang, D. W., Sherman, B. T., and Lempicki, R.A. (2009a). Systematic and integrative analysis of large gene lists using DAVID bioinformatics resources. </w:t>
      </w:r>
      <w:r w:rsidRPr="006259AF">
        <w:rPr>
          <w:i/>
          <w:iCs/>
          <w:noProof/>
          <w:sz w:val="24"/>
          <w:szCs w:val="24"/>
        </w:rPr>
        <w:t>Nature protocols</w:t>
      </w:r>
      <w:r w:rsidRPr="006259AF">
        <w:rPr>
          <w:noProof/>
          <w:sz w:val="24"/>
          <w:szCs w:val="24"/>
        </w:rPr>
        <w:t xml:space="preserve">, </w:t>
      </w:r>
      <w:r w:rsidRPr="006259AF">
        <w:rPr>
          <w:iCs/>
          <w:noProof/>
          <w:sz w:val="24"/>
          <w:szCs w:val="24"/>
        </w:rPr>
        <w:t>4</w:t>
      </w:r>
      <w:r w:rsidRPr="006259AF">
        <w:rPr>
          <w:noProof/>
          <w:sz w:val="24"/>
          <w:szCs w:val="24"/>
        </w:rPr>
        <w:t>(1), 44–57. doi:10.1038/nprot.2008.211</w:t>
      </w:r>
    </w:p>
    <w:p w14:paraId="5574F17C" w14:textId="77777777" w:rsidR="006259AF" w:rsidRPr="006259AF" w:rsidRDefault="006259AF" w:rsidP="006259AF">
      <w:pPr>
        <w:pStyle w:val="NormalWeb"/>
        <w:ind w:left="720" w:hanging="720"/>
        <w:rPr>
          <w:noProof/>
          <w:sz w:val="24"/>
          <w:szCs w:val="24"/>
        </w:rPr>
      </w:pPr>
      <w:r w:rsidRPr="006259AF">
        <w:rPr>
          <w:noProof/>
          <w:sz w:val="24"/>
          <w:szCs w:val="24"/>
        </w:rPr>
        <w:t xml:space="preserve">Huang, D. W., Sherman, B. T., and Lempicki, R.A. (2009b). Bioinformatics enrichment tools: paths toward the comprehensive functional analysis of large gene lists. </w:t>
      </w:r>
      <w:r w:rsidRPr="006259AF">
        <w:rPr>
          <w:i/>
          <w:iCs/>
          <w:noProof/>
          <w:sz w:val="24"/>
          <w:szCs w:val="24"/>
        </w:rPr>
        <w:t>Nucleic acids research</w:t>
      </w:r>
      <w:r w:rsidRPr="006259AF">
        <w:rPr>
          <w:noProof/>
          <w:sz w:val="24"/>
          <w:szCs w:val="24"/>
        </w:rPr>
        <w:t xml:space="preserve">, </w:t>
      </w:r>
      <w:r w:rsidRPr="006259AF">
        <w:rPr>
          <w:iCs/>
          <w:noProof/>
          <w:sz w:val="24"/>
          <w:szCs w:val="24"/>
        </w:rPr>
        <w:t>37</w:t>
      </w:r>
      <w:r w:rsidRPr="006259AF">
        <w:rPr>
          <w:noProof/>
          <w:sz w:val="24"/>
          <w:szCs w:val="24"/>
        </w:rPr>
        <w:t>(1), 1–13. doi:10.1093/nar/gkn923</w:t>
      </w:r>
    </w:p>
    <w:p w14:paraId="0260FCA4" w14:textId="77777777" w:rsidR="006259AF" w:rsidRPr="006259AF" w:rsidRDefault="006259AF" w:rsidP="006259AF">
      <w:pPr>
        <w:pStyle w:val="NormalWeb"/>
        <w:ind w:left="720" w:hanging="720"/>
        <w:rPr>
          <w:noProof/>
          <w:sz w:val="24"/>
          <w:szCs w:val="24"/>
        </w:rPr>
      </w:pPr>
      <w:r w:rsidRPr="006259AF">
        <w:rPr>
          <w:noProof/>
          <w:sz w:val="24"/>
          <w:szCs w:val="24"/>
        </w:rPr>
        <w:t>Ivanina, A. V, Dickinson, G. H., Matoo, O. B., Bagwe, R., Dickinson, A., Beniash, E., and Sokolova, I. M. (2013). Interactive effects of elevated temperature and CO</w:t>
      </w:r>
      <w:r w:rsidRPr="006259AF">
        <w:rPr>
          <w:noProof/>
          <w:sz w:val="24"/>
          <w:szCs w:val="24"/>
          <w:vertAlign w:val="subscript"/>
        </w:rPr>
        <w:t>2</w:t>
      </w:r>
      <w:r w:rsidRPr="006259AF">
        <w:rPr>
          <w:noProof/>
          <w:sz w:val="24"/>
          <w:szCs w:val="24"/>
        </w:rPr>
        <w:t xml:space="preserve"> levels on energy metabolism and biomineralization of marine bivalves Crassostrea virginica and Mercenaria mercenaria. </w:t>
      </w:r>
      <w:r w:rsidRPr="006259AF">
        <w:rPr>
          <w:i/>
          <w:iCs/>
          <w:noProof/>
          <w:sz w:val="24"/>
          <w:szCs w:val="24"/>
        </w:rPr>
        <w:t>Comparative biochemistry and physiology. Part A, Molecular &amp; integrative physiology</w:t>
      </w:r>
      <w:r w:rsidRPr="006259AF">
        <w:rPr>
          <w:noProof/>
          <w:sz w:val="24"/>
          <w:szCs w:val="24"/>
        </w:rPr>
        <w:t xml:space="preserve">, </w:t>
      </w:r>
      <w:r w:rsidRPr="006259AF">
        <w:rPr>
          <w:iCs/>
          <w:noProof/>
          <w:sz w:val="24"/>
          <w:szCs w:val="24"/>
        </w:rPr>
        <w:t>166</w:t>
      </w:r>
      <w:r w:rsidRPr="006259AF">
        <w:rPr>
          <w:noProof/>
          <w:sz w:val="24"/>
          <w:szCs w:val="24"/>
        </w:rPr>
        <w:t>(1), 101–11. doi:10.1016/j.cbpa.2013.05.016</w:t>
      </w:r>
    </w:p>
    <w:p w14:paraId="5DC8C3D8" w14:textId="77777777" w:rsidR="006259AF" w:rsidRPr="006259AF" w:rsidRDefault="006259AF" w:rsidP="006259AF">
      <w:pPr>
        <w:pStyle w:val="NormalWeb"/>
        <w:ind w:left="720" w:hanging="720"/>
        <w:rPr>
          <w:noProof/>
          <w:sz w:val="24"/>
          <w:szCs w:val="24"/>
        </w:rPr>
      </w:pPr>
      <w:r w:rsidRPr="006259AF">
        <w:rPr>
          <w:noProof/>
          <w:sz w:val="24"/>
          <w:szCs w:val="24"/>
        </w:rPr>
        <w:t xml:space="preserve">Kaniewska, P., Campbell, P. R., Kline, D. I., Rodriguez-Lanetty, M., Miller, D. J., Dove, S., and Hoegh-Guldberg, O. (2012). Major cellular and physiological impacts of ocean acidification on a reef building coral. </w:t>
      </w:r>
      <w:r w:rsidRPr="006259AF">
        <w:rPr>
          <w:i/>
          <w:iCs/>
          <w:noProof/>
          <w:sz w:val="24"/>
          <w:szCs w:val="24"/>
        </w:rPr>
        <w:t>PloS one</w:t>
      </w:r>
      <w:r w:rsidRPr="006259AF">
        <w:rPr>
          <w:noProof/>
          <w:sz w:val="24"/>
          <w:szCs w:val="24"/>
        </w:rPr>
        <w:t xml:space="preserve">, </w:t>
      </w:r>
      <w:r w:rsidRPr="006259AF">
        <w:rPr>
          <w:iCs/>
          <w:noProof/>
          <w:sz w:val="24"/>
          <w:szCs w:val="24"/>
        </w:rPr>
        <w:t>7</w:t>
      </w:r>
      <w:r w:rsidRPr="006259AF">
        <w:rPr>
          <w:noProof/>
          <w:sz w:val="24"/>
          <w:szCs w:val="24"/>
        </w:rPr>
        <w:t>(4), e34659. doi:10.1371/journal.pone.0034659</w:t>
      </w:r>
    </w:p>
    <w:p w14:paraId="7A0E0C03" w14:textId="77777777" w:rsidR="006259AF" w:rsidRPr="006259AF" w:rsidRDefault="006259AF" w:rsidP="006259AF">
      <w:pPr>
        <w:pStyle w:val="NormalWeb"/>
        <w:ind w:left="720" w:hanging="720"/>
        <w:rPr>
          <w:noProof/>
          <w:sz w:val="24"/>
          <w:szCs w:val="24"/>
        </w:rPr>
      </w:pPr>
      <w:r w:rsidRPr="006259AF">
        <w:rPr>
          <w:noProof/>
          <w:sz w:val="24"/>
          <w:szCs w:val="24"/>
        </w:rPr>
        <w:t xml:space="preserve">Kelly, M. W., Padilla-Gamiño, J. L., and Hofmann, G. E. (2013). Natural variation and the capacity to adapt to ocean acidification in the keystone sea urchin Strongylocentrotus purpuratus. </w:t>
      </w:r>
      <w:r w:rsidRPr="006259AF">
        <w:rPr>
          <w:i/>
          <w:iCs/>
          <w:noProof/>
          <w:sz w:val="24"/>
          <w:szCs w:val="24"/>
        </w:rPr>
        <w:t>Global change biology</w:t>
      </w:r>
      <w:r w:rsidRPr="006259AF">
        <w:rPr>
          <w:noProof/>
          <w:sz w:val="24"/>
          <w:szCs w:val="24"/>
        </w:rPr>
        <w:t xml:space="preserve">, </w:t>
      </w:r>
      <w:r w:rsidRPr="006259AF">
        <w:rPr>
          <w:iCs/>
          <w:noProof/>
          <w:sz w:val="24"/>
          <w:szCs w:val="24"/>
        </w:rPr>
        <w:t>19</w:t>
      </w:r>
      <w:r w:rsidRPr="006259AF">
        <w:rPr>
          <w:noProof/>
          <w:sz w:val="24"/>
          <w:szCs w:val="24"/>
        </w:rPr>
        <w:t>(8), 2536–46. doi:10.1111/gcb.12251</w:t>
      </w:r>
    </w:p>
    <w:p w14:paraId="07EFB811" w14:textId="77777777" w:rsidR="006259AF" w:rsidRPr="006259AF" w:rsidRDefault="006259AF" w:rsidP="006259AF">
      <w:pPr>
        <w:pStyle w:val="NormalWeb"/>
        <w:ind w:left="720" w:hanging="720"/>
        <w:rPr>
          <w:noProof/>
          <w:sz w:val="24"/>
          <w:szCs w:val="24"/>
        </w:rPr>
      </w:pPr>
      <w:r w:rsidRPr="006259AF">
        <w:rPr>
          <w:noProof/>
          <w:sz w:val="24"/>
          <w:szCs w:val="24"/>
        </w:rPr>
        <w:t xml:space="preserve">Kroeker, K. J., Kordas, R. L., Crim, R., Hendriks, I. E., Ramajo, L., Singh, G. S., Duarte, C.M., and Gattuso, J.-P. (2013). Impacts of ocean acidification on marine organisms: quantifying sensitivities and interaction with warming. </w:t>
      </w:r>
      <w:r w:rsidRPr="006259AF">
        <w:rPr>
          <w:i/>
          <w:iCs/>
          <w:noProof/>
          <w:sz w:val="24"/>
          <w:szCs w:val="24"/>
        </w:rPr>
        <w:t>Global change biology</w:t>
      </w:r>
      <w:r w:rsidRPr="006259AF">
        <w:rPr>
          <w:noProof/>
          <w:sz w:val="24"/>
          <w:szCs w:val="24"/>
        </w:rPr>
        <w:t xml:space="preserve">, </w:t>
      </w:r>
      <w:r w:rsidRPr="006259AF">
        <w:rPr>
          <w:iCs/>
          <w:noProof/>
          <w:sz w:val="24"/>
          <w:szCs w:val="24"/>
        </w:rPr>
        <w:t>19</w:t>
      </w:r>
      <w:r w:rsidRPr="006259AF">
        <w:rPr>
          <w:noProof/>
          <w:sz w:val="24"/>
          <w:szCs w:val="24"/>
        </w:rPr>
        <w:t>(6), 1884–96. doi:10.1111/gcb.12179</w:t>
      </w:r>
    </w:p>
    <w:p w14:paraId="12752A16" w14:textId="77777777" w:rsidR="006259AF" w:rsidRPr="006259AF" w:rsidRDefault="006259AF" w:rsidP="006259AF">
      <w:pPr>
        <w:pStyle w:val="NormalWeb"/>
        <w:ind w:left="720" w:hanging="720"/>
        <w:rPr>
          <w:noProof/>
          <w:sz w:val="24"/>
          <w:szCs w:val="24"/>
        </w:rPr>
      </w:pPr>
      <w:r w:rsidRPr="006259AF">
        <w:rPr>
          <w:noProof/>
          <w:sz w:val="24"/>
          <w:szCs w:val="24"/>
        </w:rPr>
        <w:t xml:space="preserve">Kroeker, K. J., Kordas, R. L., Crim, R. N., and Singh, G. G. (2010). Meta-analysis reveals negative yet variable effects of ocean acidification on marine organisms. </w:t>
      </w:r>
      <w:r w:rsidRPr="006259AF">
        <w:rPr>
          <w:i/>
          <w:iCs/>
          <w:noProof/>
          <w:sz w:val="24"/>
          <w:szCs w:val="24"/>
        </w:rPr>
        <w:t>Ecology letters</w:t>
      </w:r>
      <w:r w:rsidRPr="006259AF">
        <w:rPr>
          <w:noProof/>
          <w:sz w:val="24"/>
          <w:szCs w:val="24"/>
        </w:rPr>
        <w:t xml:space="preserve">, </w:t>
      </w:r>
      <w:r w:rsidRPr="006259AF">
        <w:rPr>
          <w:iCs/>
          <w:noProof/>
          <w:sz w:val="24"/>
          <w:szCs w:val="24"/>
        </w:rPr>
        <w:t>13</w:t>
      </w:r>
      <w:r w:rsidRPr="006259AF">
        <w:rPr>
          <w:noProof/>
          <w:sz w:val="24"/>
          <w:szCs w:val="24"/>
        </w:rPr>
        <w:t>(11), 1419–34. doi:10.1111/j.1461-0248.2010.01518.x</w:t>
      </w:r>
    </w:p>
    <w:p w14:paraId="33DC5387" w14:textId="77777777" w:rsidR="006259AF" w:rsidRPr="006259AF" w:rsidRDefault="006259AF" w:rsidP="006259AF">
      <w:pPr>
        <w:pStyle w:val="NormalWeb"/>
        <w:ind w:left="720" w:hanging="720"/>
        <w:rPr>
          <w:noProof/>
          <w:sz w:val="24"/>
          <w:szCs w:val="24"/>
        </w:rPr>
      </w:pPr>
      <w:r w:rsidRPr="006259AF">
        <w:rPr>
          <w:noProof/>
          <w:sz w:val="24"/>
          <w:szCs w:val="24"/>
        </w:rPr>
        <w:t>Kurihara, H., Kato, S., and Ishimatsu, A. (2007). Effects of increased seawater pCO</w:t>
      </w:r>
      <w:r w:rsidRPr="006259AF">
        <w:rPr>
          <w:noProof/>
          <w:sz w:val="24"/>
          <w:szCs w:val="24"/>
          <w:vertAlign w:val="subscript"/>
        </w:rPr>
        <w:t>2</w:t>
      </w:r>
      <w:r w:rsidRPr="006259AF">
        <w:rPr>
          <w:noProof/>
          <w:sz w:val="24"/>
          <w:szCs w:val="24"/>
        </w:rPr>
        <w:t xml:space="preserve"> on early development of the oyster Crassostrea gigas. </w:t>
      </w:r>
      <w:r w:rsidRPr="006259AF">
        <w:rPr>
          <w:i/>
          <w:iCs/>
          <w:noProof/>
          <w:sz w:val="24"/>
          <w:szCs w:val="24"/>
        </w:rPr>
        <w:t>Aquatic Biology</w:t>
      </w:r>
      <w:r w:rsidRPr="006259AF">
        <w:rPr>
          <w:noProof/>
          <w:sz w:val="24"/>
          <w:szCs w:val="24"/>
        </w:rPr>
        <w:t xml:space="preserve">, </w:t>
      </w:r>
      <w:r w:rsidRPr="006259AF">
        <w:rPr>
          <w:iCs/>
          <w:noProof/>
          <w:sz w:val="24"/>
          <w:szCs w:val="24"/>
        </w:rPr>
        <w:t>1</w:t>
      </w:r>
      <w:r w:rsidRPr="006259AF">
        <w:rPr>
          <w:noProof/>
          <w:sz w:val="24"/>
          <w:szCs w:val="24"/>
        </w:rPr>
        <w:t>(1), 91–98. doi:10.3354/ab00009</w:t>
      </w:r>
    </w:p>
    <w:p w14:paraId="267D2B1A" w14:textId="77777777" w:rsidR="006259AF" w:rsidRPr="006259AF" w:rsidRDefault="006259AF" w:rsidP="006259AF">
      <w:pPr>
        <w:pStyle w:val="NormalWeb"/>
        <w:ind w:left="720" w:hanging="720"/>
        <w:rPr>
          <w:noProof/>
          <w:sz w:val="24"/>
          <w:szCs w:val="24"/>
        </w:rPr>
      </w:pPr>
      <w:r w:rsidRPr="006259AF">
        <w:rPr>
          <w:noProof/>
          <w:sz w:val="24"/>
          <w:szCs w:val="24"/>
        </w:rPr>
        <w:t xml:space="preserve">Lacoste, A., Malham, S. K., Cueff, A., Jalabert, F., Gélébart, F., and Poulet, S.A. (2001). Evidence for a form of adrenergic response to stress in the mollusc Crassostrea gigas. </w:t>
      </w:r>
      <w:r w:rsidRPr="006259AF">
        <w:rPr>
          <w:i/>
          <w:iCs/>
          <w:noProof/>
          <w:sz w:val="24"/>
          <w:szCs w:val="24"/>
        </w:rPr>
        <w:t>The Journal of experimental biology</w:t>
      </w:r>
      <w:r w:rsidRPr="006259AF">
        <w:rPr>
          <w:noProof/>
          <w:sz w:val="24"/>
          <w:szCs w:val="24"/>
        </w:rPr>
        <w:t xml:space="preserve">, </w:t>
      </w:r>
      <w:r w:rsidRPr="006259AF">
        <w:rPr>
          <w:iCs/>
          <w:noProof/>
          <w:sz w:val="24"/>
          <w:szCs w:val="24"/>
        </w:rPr>
        <w:t>204</w:t>
      </w:r>
      <w:r w:rsidRPr="006259AF">
        <w:rPr>
          <w:noProof/>
          <w:sz w:val="24"/>
          <w:szCs w:val="24"/>
        </w:rPr>
        <w:t xml:space="preserve">(7), 1247–55. </w:t>
      </w:r>
    </w:p>
    <w:p w14:paraId="2AEB3BBE" w14:textId="77777777" w:rsidR="006259AF" w:rsidRPr="006259AF" w:rsidRDefault="006259AF" w:rsidP="006259AF">
      <w:pPr>
        <w:pStyle w:val="NormalWeb"/>
        <w:ind w:left="720" w:hanging="720"/>
        <w:rPr>
          <w:noProof/>
          <w:sz w:val="24"/>
          <w:szCs w:val="24"/>
        </w:rPr>
      </w:pPr>
      <w:r w:rsidRPr="006259AF">
        <w:rPr>
          <w:noProof/>
          <w:sz w:val="24"/>
          <w:szCs w:val="24"/>
        </w:rPr>
        <w:t xml:space="preserve">Lacoste, A., Malham, S. K., Cueff, A., and Poulet, S.A. (2001). Stress-induced catecholamine changes in the hemolymph of the oyster Crassostrea gigas. </w:t>
      </w:r>
      <w:r w:rsidRPr="006259AF">
        <w:rPr>
          <w:i/>
          <w:iCs/>
          <w:noProof/>
          <w:sz w:val="24"/>
          <w:szCs w:val="24"/>
        </w:rPr>
        <w:t>General and comparative endocrinology</w:t>
      </w:r>
      <w:r w:rsidRPr="006259AF">
        <w:rPr>
          <w:noProof/>
          <w:sz w:val="24"/>
          <w:szCs w:val="24"/>
        </w:rPr>
        <w:t xml:space="preserve">, </w:t>
      </w:r>
      <w:r w:rsidRPr="006259AF">
        <w:rPr>
          <w:iCs/>
          <w:noProof/>
          <w:sz w:val="24"/>
          <w:szCs w:val="24"/>
        </w:rPr>
        <w:t>122</w:t>
      </w:r>
      <w:r w:rsidRPr="006259AF">
        <w:rPr>
          <w:noProof/>
          <w:sz w:val="24"/>
          <w:szCs w:val="24"/>
        </w:rPr>
        <w:t>(2), 181–8. doi:10.1006/gcen.2001.7629</w:t>
      </w:r>
    </w:p>
    <w:p w14:paraId="1D5FC3D0" w14:textId="77777777" w:rsidR="006259AF" w:rsidRPr="006259AF" w:rsidRDefault="006259AF" w:rsidP="006259AF">
      <w:pPr>
        <w:pStyle w:val="NormalWeb"/>
        <w:ind w:left="720" w:hanging="720"/>
        <w:rPr>
          <w:noProof/>
          <w:sz w:val="24"/>
          <w:szCs w:val="24"/>
        </w:rPr>
      </w:pPr>
      <w:r w:rsidRPr="006259AF">
        <w:rPr>
          <w:noProof/>
          <w:sz w:val="24"/>
          <w:szCs w:val="24"/>
        </w:rPr>
        <w:t xml:space="preserve">Lannig, G., Eilers, S., Pörtner, H. O., Sokolova, I. M., and Bock, C. (2010). Impact of ocean acidification on energy metabolism of oyster, Crassostrea gigas--changes in metabolic pathways and thermal response. </w:t>
      </w:r>
      <w:r w:rsidRPr="006259AF">
        <w:rPr>
          <w:i/>
          <w:iCs/>
          <w:noProof/>
          <w:sz w:val="24"/>
          <w:szCs w:val="24"/>
        </w:rPr>
        <w:t>Marine drugs</w:t>
      </w:r>
      <w:r w:rsidRPr="006259AF">
        <w:rPr>
          <w:noProof/>
          <w:sz w:val="24"/>
          <w:szCs w:val="24"/>
        </w:rPr>
        <w:t xml:space="preserve">, </w:t>
      </w:r>
      <w:r w:rsidRPr="006259AF">
        <w:rPr>
          <w:iCs/>
          <w:noProof/>
          <w:sz w:val="24"/>
          <w:szCs w:val="24"/>
        </w:rPr>
        <w:t>8</w:t>
      </w:r>
      <w:r w:rsidRPr="006259AF">
        <w:rPr>
          <w:noProof/>
          <w:sz w:val="24"/>
          <w:szCs w:val="24"/>
        </w:rPr>
        <w:t>(8), 2318–39. doi:10.3390/md8082318</w:t>
      </w:r>
    </w:p>
    <w:p w14:paraId="7DE7C997" w14:textId="77777777" w:rsidR="006259AF" w:rsidRPr="006259AF" w:rsidRDefault="006259AF" w:rsidP="006259AF">
      <w:pPr>
        <w:pStyle w:val="NormalWeb"/>
        <w:ind w:left="720" w:hanging="720"/>
        <w:rPr>
          <w:noProof/>
          <w:sz w:val="24"/>
          <w:szCs w:val="24"/>
        </w:rPr>
      </w:pPr>
      <w:r w:rsidRPr="006259AF">
        <w:rPr>
          <w:noProof/>
          <w:sz w:val="24"/>
          <w:szCs w:val="24"/>
        </w:rPr>
        <w:t xml:space="preserve">Lee, S. W., Kim, G. H., and Choi, C. S. (2008). Characteristic crystal orientation of folia in oyster shell, Crassostrea gigas. </w:t>
      </w:r>
      <w:r w:rsidRPr="006259AF">
        <w:rPr>
          <w:i/>
          <w:iCs/>
          <w:noProof/>
          <w:sz w:val="24"/>
          <w:szCs w:val="24"/>
        </w:rPr>
        <w:t>Materials Science and Engineering: C</w:t>
      </w:r>
      <w:r w:rsidRPr="006259AF">
        <w:rPr>
          <w:noProof/>
          <w:sz w:val="24"/>
          <w:szCs w:val="24"/>
        </w:rPr>
        <w:t xml:space="preserve">, </w:t>
      </w:r>
      <w:r w:rsidRPr="006259AF">
        <w:rPr>
          <w:iCs/>
          <w:noProof/>
          <w:sz w:val="24"/>
          <w:szCs w:val="24"/>
        </w:rPr>
        <w:t>28</w:t>
      </w:r>
      <w:r w:rsidRPr="006259AF">
        <w:rPr>
          <w:noProof/>
          <w:sz w:val="24"/>
          <w:szCs w:val="24"/>
        </w:rPr>
        <w:t>(2), 258–263. doi:10.1016/j.msec.2007.01.001</w:t>
      </w:r>
    </w:p>
    <w:p w14:paraId="402DAD8D" w14:textId="77777777" w:rsidR="006259AF" w:rsidRPr="006259AF" w:rsidRDefault="006259AF" w:rsidP="006259AF">
      <w:pPr>
        <w:pStyle w:val="NormalWeb"/>
        <w:ind w:left="720" w:hanging="720"/>
        <w:rPr>
          <w:noProof/>
          <w:sz w:val="24"/>
          <w:szCs w:val="24"/>
        </w:rPr>
      </w:pPr>
      <w:r w:rsidRPr="006259AF">
        <w:rPr>
          <w:noProof/>
          <w:sz w:val="24"/>
          <w:szCs w:val="24"/>
        </w:rPr>
        <w:t xml:space="preserve">Letunic, I., Yamada, T., Kanehisa, M., and Bork, P. (2008). iPath: interactive exploration of biochemical pathways and networks. </w:t>
      </w:r>
      <w:r w:rsidRPr="006259AF">
        <w:rPr>
          <w:i/>
          <w:iCs/>
          <w:noProof/>
          <w:sz w:val="24"/>
          <w:szCs w:val="24"/>
        </w:rPr>
        <w:t>Trends in biochemical sciences</w:t>
      </w:r>
      <w:r w:rsidRPr="006259AF">
        <w:rPr>
          <w:noProof/>
          <w:sz w:val="24"/>
          <w:szCs w:val="24"/>
        </w:rPr>
        <w:t xml:space="preserve">, </w:t>
      </w:r>
      <w:r w:rsidRPr="006259AF">
        <w:rPr>
          <w:iCs/>
          <w:noProof/>
          <w:sz w:val="24"/>
          <w:szCs w:val="24"/>
        </w:rPr>
        <w:t>33</w:t>
      </w:r>
      <w:r w:rsidRPr="006259AF">
        <w:rPr>
          <w:noProof/>
          <w:sz w:val="24"/>
          <w:szCs w:val="24"/>
        </w:rPr>
        <w:t>(3), 101–3. doi:10.1016/j.tibs.2008.01.001</w:t>
      </w:r>
    </w:p>
    <w:p w14:paraId="3367D244" w14:textId="77777777" w:rsidR="006259AF" w:rsidRPr="006259AF" w:rsidRDefault="006259AF" w:rsidP="006259AF">
      <w:pPr>
        <w:pStyle w:val="NormalWeb"/>
        <w:ind w:left="720" w:hanging="720"/>
        <w:rPr>
          <w:noProof/>
          <w:sz w:val="24"/>
          <w:szCs w:val="24"/>
        </w:rPr>
      </w:pPr>
      <w:r w:rsidRPr="006259AF">
        <w:rPr>
          <w:noProof/>
          <w:sz w:val="24"/>
          <w:szCs w:val="24"/>
        </w:rPr>
        <w:t>Matoo, O. B., Ivanina, A. V, Ullstad, C., Beniash, E., and Sokolova, I. M. (2013). Interactive effects of elevated temperature and CO</w:t>
      </w:r>
      <w:r w:rsidRPr="006259AF">
        <w:rPr>
          <w:noProof/>
          <w:sz w:val="24"/>
          <w:szCs w:val="24"/>
          <w:vertAlign w:val="subscript"/>
        </w:rPr>
        <w:t>2</w:t>
      </w:r>
      <w:r w:rsidRPr="006259AF">
        <w:rPr>
          <w:noProof/>
          <w:sz w:val="24"/>
          <w:szCs w:val="24"/>
        </w:rPr>
        <w:t xml:space="preserve"> levels on metabolism and oxidative stress in two common marine bivalves (Crassostrea virginica and Mercenaria mercenaria). </w:t>
      </w:r>
      <w:r w:rsidRPr="006259AF">
        <w:rPr>
          <w:i/>
          <w:iCs/>
          <w:noProof/>
          <w:sz w:val="24"/>
          <w:szCs w:val="24"/>
        </w:rPr>
        <w:t>Comparative biochemistry and physiology. Part A, Molecular &amp; integrative physiology</w:t>
      </w:r>
      <w:r w:rsidRPr="006259AF">
        <w:rPr>
          <w:noProof/>
          <w:sz w:val="24"/>
          <w:szCs w:val="24"/>
        </w:rPr>
        <w:t xml:space="preserve">, </w:t>
      </w:r>
      <w:r w:rsidRPr="006259AF">
        <w:rPr>
          <w:iCs/>
          <w:noProof/>
          <w:sz w:val="24"/>
          <w:szCs w:val="24"/>
        </w:rPr>
        <w:t>164</w:t>
      </w:r>
      <w:r w:rsidRPr="006259AF">
        <w:rPr>
          <w:noProof/>
          <w:sz w:val="24"/>
          <w:szCs w:val="24"/>
        </w:rPr>
        <w:t>(4), 545–53. doi:10.1016/j.cbpa.2012.12.025</w:t>
      </w:r>
    </w:p>
    <w:p w14:paraId="30FA3E97" w14:textId="77777777" w:rsidR="006259AF" w:rsidRPr="006259AF" w:rsidRDefault="006259AF" w:rsidP="006259AF">
      <w:pPr>
        <w:pStyle w:val="NormalWeb"/>
        <w:ind w:left="720" w:hanging="720"/>
        <w:rPr>
          <w:noProof/>
          <w:sz w:val="24"/>
          <w:szCs w:val="24"/>
        </w:rPr>
      </w:pPr>
      <w:r w:rsidRPr="006259AF">
        <w:rPr>
          <w:noProof/>
          <w:sz w:val="24"/>
          <w:szCs w:val="24"/>
        </w:rPr>
        <w:t>Matson, P. G., Yu, P. C., Sewell, M.A, and Hofmann, G. E. (2012). Development under elevated pCO</w:t>
      </w:r>
      <w:r w:rsidRPr="006259AF">
        <w:rPr>
          <w:noProof/>
          <w:sz w:val="24"/>
          <w:szCs w:val="24"/>
          <w:vertAlign w:val="subscript"/>
        </w:rPr>
        <w:t>2</w:t>
      </w:r>
      <w:r w:rsidRPr="006259AF">
        <w:rPr>
          <w:noProof/>
          <w:sz w:val="24"/>
          <w:szCs w:val="24"/>
        </w:rPr>
        <w:t xml:space="preserve"> conditions does not affect lipid utilization and protein content in early life-history stages of the purple sea urchin, Strongylocentrotus purpuratus. </w:t>
      </w:r>
      <w:r w:rsidRPr="006259AF">
        <w:rPr>
          <w:i/>
          <w:iCs/>
          <w:noProof/>
          <w:sz w:val="24"/>
          <w:szCs w:val="24"/>
        </w:rPr>
        <w:t>The Biological bulletin</w:t>
      </w:r>
      <w:r w:rsidRPr="006259AF">
        <w:rPr>
          <w:noProof/>
          <w:sz w:val="24"/>
          <w:szCs w:val="24"/>
        </w:rPr>
        <w:t xml:space="preserve">, </w:t>
      </w:r>
      <w:r w:rsidRPr="006259AF">
        <w:rPr>
          <w:iCs/>
          <w:noProof/>
          <w:sz w:val="24"/>
          <w:szCs w:val="24"/>
        </w:rPr>
        <w:t>223</w:t>
      </w:r>
      <w:r w:rsidRPr="006259AF">
        <w:rPr>
          <w:noProof/>
          <w:sz w:val="24"/>
          <w:szCs w:val="24"/>
        </w:rPr>
        <w:t xml:space="preserve">(3), 312–27. </w:t>
      </w:r>
    </w:p>
    <w:p w14:paraId="0B3FF010" w14:textId="77777777" w:rsidR="006259AF" w:rsidRPr="006259AF" w:rsidRDefault="006259AF" w:rsidP="006259AF">
      <w:pPr>
        <w:pStyle w:val="NormalWeb"/>
        <w:ind w:left="720" w:hanging="720"/>
        <w:rPr>
          <w:noProof/>
          <w:sz w:val="24"/>
          <w:szCs w:val="24"/>
        </w:rPr>
      </w:pPr>
      <w:r w:rsidRPr="006259AF">
        <w:rPr>
          <w:noProof/>
          <w:sz w:val="24"/>
          <w:szCs w:val="24"/>
        </w:rPr>
        <w:t>Melzner, F., Gutowska, M. A., Langenbuch, M., Dupont, S., Lucassen, M., Thorndyke, M. C.,  Bleich, M., and Pörtner, H.-O. (2009). Physiological basis for high CO</w:t>
      </w:r>
      <w:r w:rsidRPr="006259AF">
        <w:rPr>
          <w:noProof/>
          <w:sz w:val="24"/>
          <w:szCs w:val="24"/>
          <w:vertAlign w:val="subscript"/>
        </w:rPr>
        <w:t>2</w:t>
      </w:r>
      <w:r w:rsidRPr="006259AF">
        <w:rPr>
          <w:noProof/>
          <w:sz w:val="24"/>
          <w:szCs w:val="24"/>
        </w:rPr>
        <w:t xml:space="preserve"> tolerance in marine ectothermic animals: pre-adaptation through lifestyle and ontogeny? </w:t>
      </w:r>
      <w:r w:rsidRPr="006259AF">
        <w:rPr>
          <w:i/>
          <w:iCs/>
          <w:noProof/>
          <w:sz w:val="24"/>
          <w:szCs w:val="24"/>
        </w:rPr>
        <w:t>Biogeosciences</w:t>
      </w:r>
      <w:r w:rsidRPr="006259AF">
        <w:rPr>
          <w:noProof/>
          <w:sz w:val="24"/>
          <w:szCs w:val="24"/>
        </w:rPr>
        <w:t xml:space="preserve">, </w:t>
      </w:r>
      <w:r w:rsidRPr="006259AF">
        <w:rPr>
          <w:iCs/>
          <w:noProof/>
          <w:sz w:val="24"/>
          <w:szCs w:val="24"/>
        </w:rPr>
        <w:t>6</w:t>
      </w:r>
      <w:r w:rsidRPr="006259AF">
        <w:rPr>
          <w:noProof/>
          <w:sz w:val="24"/>
          <w:szCs w:val="24"/>
        </w:rPr>
        <w:t>(10), 2313–2331. doi:10.5194/bg-6-2313-2009</w:t>
      </w:r>
    </w:p>
    <w:p w14:paraId="2EE95B0C" w14:textId="77777777" w:rsidR="006259AF" w:rsidRPr="006259AF" w:rsidRDefault="006259AF" w:rsidP="006259AF">
      <w:pPr>
        <w:pStyle w:val="NormalWeb"/>
        <w:ind w:left="720" w:hanging="720"/>
        <w:rPr>
          <w:noProof/>
          <w:sz w:val="24"/>
          <w:szCs w:val="24"/>
        </w:rPr>
      </w:pPr>
      <w:r w:rsidRPr="006259AF">
        <w:rPr>
          <w:noProof/>
          <w:sz w:val="24"/>
          <w:szCs w:val="24"/>
        </w:rPr>
        <w:t>Melzner, F., Stange, P., Trübenbach, K., Thomsen, J., Casties, I., Panknin, U.,  Gorb, S.N. and Gutowska, M.A. (2011). Food supply and seawater pCO</w:t>
      </w:r>
      <w:r w:rsidRPr="006259AF">
        <w:rPr>
          <w:noProof/>
          <w:sz w:val="24"/>
          <w:szCs w:val="24"/>
          <w:vertAlign w:val="subscript"/>
        </w:rPr>
        <w:t>2</w:t>
      </w:r>
      <w:r w:rsidRPr="006259AF">
        <w:rPr>
          <w:noProof/>
          <w:sz w:val="24"/>
          <w:szCs w:val="24"/>
        </w:rPr>
        <w:t xml:space="preserve"> impact calcification and internal shell dissolution in the blue mussel Mytilus edulis. </w:t>
      </w:r>
      <w:r w:rsidRPr="006259AF">
        <w:rPr>
          <w:i/>
          <w:iCs/>
          <w:noProof/>
          <w:sz w:val="24"/>
          <w:szCs w:val="24"/>
        </w:rPr>
        <w:t>PloS one</w:t>
      </w:r>
      <w:r w:rsidRPr="006259AF">
        <w:rPr>
          <w:noProof/>
          <w:sz w:val="24"/>
          <w:szCs w:val="24"/>
        </w:rPr>
        <w:t xml:space="preserve">, </w:t>
      </w:r>
      <w:r w:rsidRPr="006259AF">
        <w:rPr>
          <w:iCs/>
          <w:noProof/>
          <w:sz w:val="24"/>
          <w:szCs w:val="24"/>
        </w:rPr>
        <w:t>6</w:t>
      </w:r>
      <w:r w:rsidRPr="006259AF">
        <w:rPr>
          <w:noProof/>
          <w:sz w:val="24"/>
          <w:szCs w:val="24"/>
        </w:rPr>
        <w:t>(9), e24223. doi:10.1371/journal.pone.0024223</w:t>
      </w:r>
    </w:p>
    <w:p w14:paraId="4956AEE7" w14:textId="77777777" w:rsidR="006259AF" w:rsidRPr="006259AF" w:rsidRDefault="006259AF" w:rsidP="006259AF">
      <w:pPr>
        <w:pStyle w:val="NormalWeb"/>
        <w:ind w:left="720" w:hanging="720"/>
        <w:rPr>
          <w:noProof/>
          <w:sz w:val="24"/>
          <w:szCs w:val="24"/>
        </w:rPr>
      </w:pPr>
      <w:r w:rsidRPr="006259AF">
        <w:rPr>
          <w:noProof/>
          <w:sz w:val="24"/>
          <w:szCs w:val="24"/>
        </w:rPr>
        <w:t xml:space="preserve">Michaelidis, B., Ouzounis, C., Paleras, A., and Pörtner, H. O. (2005). Effects of long-term moderate hypercapnia on acid – base balance and growth rate in marine mussels Mytilus galloprovincialis. </w:t>
      </w:r>
      <w:r w:rsidRPr="006259AF">
        <w:rPr>
          <w:i/>
          <w:iCs/>
          <w:noProof/>
          <w:sz w:val="24"/>
          <w:szCs w:val="24"/>
        </w:rPr>
        <w:t>Marine Ecology Progress Series</w:t>
      </w:r>
      <w:r w:rsidRPr="006259AF">
        <w:rPr>
          <w:noProof/>
          <w:sz w:val="24"/>
          <w:szCs w:val="24"/>
        </w:rPr>
        <w:t xml:space="preserve">, </w:t>
      </w:r>
      <w:r w:rsidRPr="006259AF">
        <w:rPr>
          <w:iCs/>
          <w:noProof/>
          <w:sz w:val="24"/>
          <w:szCs w:val="24"/>
        </w:rPr>
        <w:t>293</w:t>
      </w:r>
      <w:r w:rsidRPr="006259AF">
        <w:rPr>
          <w:noProof/>
          <w:sz w:val="24"/>
          <w:szCs w:val="24"/>
        </w:rPr>
        <w:t>, 109–118.</w:t>
      </w:r>
    </w:p>
    <w:p w14:paraId="1D80C211" w14:textId="77777777" w:rsidR="006259AF" w:rsidRPr="006259AF" w:rsidRDefault="006259AF" w:rsidP="006259AF">
      <w:pPr>
        <w:pStyle w:val="NormalWeb"/>
        <w:ind w:left="720" w:hanging="720"/>
        <w:rPr>
          <w:noProof/>
          <w:sz w:val="24"/>
          <w:szCs w:val="24"/>
        </w:rPr>
      </w:pPr>
      <w:r w:rsidRPr="006259AF">
        <w:rPr>
          <w:noProof/>
          <w:sz w:val="24"/>
          <w:szCs w:val="24"/>
        </w:rPr>
        <w:t xml:space="preserve">Milke, L. M., Bricelj, V. M., and Parrish, C. C. (2004). Growth of postlarval sea scallops, Placopecten magellanicus, on microalgal diets, with emphasis on the nutritional role of lipids and fatty acids. </w:t>
      </w:r>
      <w:r w:rsidRPr="006259AF">
        <w:rPr>
          <w:i/>
          <w:iCs/>
          <w:noProof/>
          <w:sz w:val="24"/>
          <w:szCs w:val="24"/>
        </w:rPr>
        <w:t>Aquaculture</w:t>
      </w:r>
      <w:r w:rsidRPr="006259AF">
        <w:rPr>
          <w:noProof/>
          <w:sz w:val="24"/>
          <w:szCs w:val="24"/>
        </w:rPr>
        <w:t xml:space="preserve">, </w:t>
      </w:r>
      <w:r w:rsidRPr="006259AF">
        <w:rPr>
          <w:iCs/>
          <w:noProof/>
          <w:sz w:val="24"/>
          <w:szCs w:val="24"/>
        </w:rPr>
        <w:t>234</w:t>
      </w:r>
      <w:r w:rsidRPr="006259AF">
        <w:rPr>
          <w:noProof/>
          <w:sz w:val="24"/>
          <w:szCs w:val="24"/>
        </w:rPr>
        <w:t>(1-4), 293–317. doi:10.1016/j.aquaculture.2003.11.006</w:t>
      </w:r>
    </w:p>
    <w:p w14:paraId="6FA1BA19" w14:textId="77777777" w:rsidR="006259AF" w:rsidRPr="006259AF" w:rsidRDefault="006259AF" w:rsidP="006259AF">
      <w:pPr>
        <w:pStyle w:val="NormalWeb"/>
        <w:ind w:left="720" w:hanging="720"/>
        <w:rPr>
          <w:noProof/>
          <w:sz w:val="24"/>
          <w:szCs w:val="24"/>
        </w:rPr>
      </w:pPr>
      <w:r w:rsidRPr="006259AF">
        <w:rPr>
          <w:noProof/>
          <w:sz w:val="24"/>
          <w:szCs w:val="24"/>
        </w:rPr>
        <w:t xml:space="preserve">Mizock, B. A. (1995). Alterations in Carbohydrate metabolism during stress: A review of the literature. </w:t>
      </w:r>
      <w:r w:rsidRPr="006259AF">
        <w:rPr>
          <w:i/>
          <w:iCs/>
          <w:noProof/>
          <w:sz w:val="24"/>
          <w:szCs w:val="24"/>
        </w:rPr>
        <w:t>The American Journal of Medicine</w:t>
      </w:r>
      <w:r w:rsidRPr="006259AF">
        <w:rPr>
          <w:noProof/>
          <w:sz w:val="24"/>
          <w:szCs w:val="24"/>
        </w:rPr>
        <w:t xml:space="preserve">, </w:t>
      </w:r>
      <w:r w:rsidRPr="006259AF">
        <w:rPr>
          <w:iCs/>
          <w:noProof/>
          <w:sz w:val="24"/>
          <w:szCs w:val="24"/>
        </w:rPr>
        <w:t>98</w:t>
      </w:r>
      <w:r w:rsidRPr="006259AF">
        <w:rPr>
          <w:noProof/>
          <w:sz w:val="24"/>
          <w:szCs w:val="24"/>
        </w:rPr>
        <w:t>, 75–84.</w:t>
      </w:r>
    </w:p>
    <w:p w14:paraId="2A6D4C91" w14:textId="77777777" w:rsidR="006259AF" w:rsidRPr="006259AF" w:rsidRDefault="006259AF" w:rsidP="006259AF">
      <w:pPr>
        <w:pStyle w:val="NormalWeb"/>
        <w:ind w:left="720" w:hanging="720"/>
        <w:rPr>
          <w:noProof/>
          <w:sz w:val="24"/>
          <w:szCs w:val="24"/>
        </w:rPr>
      </w:pPr>
      <w:r w:rsidRPr="006259AF">
        <w:rPr>
          <w:noProof/>
          <w:sz w:val="24"/>
          <w:szCs w:val="24"/>
        </w:rPr>
        <w:t xml:space="preserve">Mohanty, P., Hamouda, W., Garg, R., Aljada, A., Ghanim, H., and Dandona, P. (2000). Glucose challenge stimulates reactive oxygen species (ROS) generation by leucocytes. </w:t>
      </w:r>
      <w:r w:rsidRPr="006259AF">
        <w:rPr>
          <w:i/>
          <w:iCs/>
          <w:noProof/>
          <w:sz w:val="24"/>
          <w:szCs w:val="24"/>
        </w:rPr>
        <w:t>The Journal of Clinical Endocrinology and Metabolism</w:t>
      </w:r>
      <w:r w:rsidRPr="006259AF">
        <w:rPr>
          <w:noProof/>
          <w:sz w:val="24"/>
          <w:szCs w:val="24"/>
        </w:rPr>
        <w:t xml:space="preserve">, </w:t>
      </w:r>
      <w:r w:rsidRPr="006259AF">
        <w:rPr>
          <w:iCs/>
          <w:noProof/>
          <w:sz w:val="24"/>
          <w:szCs w:val="24"/>
        </w:rPr>
        <w:t>85</w:t>
      </w:r>
      <w:r w:rsidRPr="006259AF">
        <w:rPr>
          <w:noProof/>
          <w:sz w:val="24"/>
          <w:szCs w:val="24"/>
        </w:rPr>
        <w:t>(8), 2970–2973.</w:t>
      </w:r>
    </w:p>
    <w:p w14:paraId="3E1F1757" w14:textId="77777777" w:rsidR="006259AF" w:rsidRPr="006259AF" w:rsidRDefault="006259AF" w:rsidP="006259AF">
      <w:pPr>
        <w:pStyle w:val="NormalWeb"/>
        <w:ind w:left="720" w:hanging="720"/>
        <w:rPr>
          <w:noProof/>
          <w:sz w:val="24"/>
          <w:szCs w:val="24"/>
        </w:rPr>
      </w:pPr>
      <w:r w:rsidRPr="006259AF">
        <w:rPr>
          <w:noProof/>
          <w:sz w:val="24"/>
          <w:szCs w:val="24"/>
        </w:rPr>
        <w:t xml:space="preserve">Mukherjee, J., Wong, K. K. W., Chandramouli, K. H., Qian, P.-Y., Leung, P. T. Y., Wu, R. S. S., &amp; Thiyagarajan, V. (2013). Proteomic response of marine invertebrate larvae to ocean acidification and hypoxia during metamorphosis and calcification. </w:t>
      </w:r>
      <w:r w:rsidRPr="006259AF">
        <w:rPr>
          <w:i/>
          <w:iCs/>
          <w:noProof/>
          <w:sz w:val="24"/>
          <w:szCs w:val="24"/>
        </w:rPr>
        <w:t>The Journal of experimental biology</w:t>
      </w:r>
      <w:r w:rsidRPr="006259AF">
        <w:rPr>
          <w:noProof/>
          <w:sz w:val="24"/>
          <w:szCs w:val="24"/>
        </w:rPr>
        <w:t xml:space="preserve">, </w:t>
      </w:r>
      <w:r w:rsidRPr="006259AF">
        <w:rPr>
          <w:iCs/>
          <w:noProof/>
          <w:sz w:val="24"/>
          <w:szCs w:val="24"/>
        </w:rPr>
        <w:t>216</w:t>
      </w:r>
      <w:r w:rsidRPr="006259AF">
        <w:rPr>
          <w:noProof/>
          <w:sz w:val="24"/>
          <w:szCs w:val="24"/>
        </w:rPr>
        <w:t>(Pt 24), 4580–9. doi:10.1242/jeb.094516</w:t>
      </w:r>
    </w:p>
    <w:p w14:paraId="49CF3514" w14:textId="77777777" w:rsidR="006259AF" w:rsidRPr="006259AF" w:rsidRDefault="006259AF" w:rsidP="006259AF">
      <w:pPr>
        <w:pStyle w:val="NormalWeb"/>
        <w:ind w:left="720" w:hanging="720"/>
        <w:rPr>
          <w:noProof/>
          <w:sz w:val="24"/>
          <w:szCs w:val="24"/>
        </w:rPr>
      </w:pPr>
      <w:r w:rsidRPr="006259AF">
        <w:rPr>
          <w:noProof/>
          <w:sz w:val="24"/>
          <w:szCs w:val="24"/>
        </w:rPr>
        <w:t xml:space="preserve">O’Donnell, M. J., George, M. N.,  and Carrington, E. (2013). Mussel byssus attachment weakened by ocean acidification. </w:t>
      </w:r>
      <w:r w:rsidRPr="006259AF">
        <w:rPr>
          <w:i/>
          <w:iCs/>
          <w:noProof/>
          <w:sz w:val="24"/>
          <w:szCs w:val="24"/>
        </w:rPr>
        <w:t>Nature Climate Change</w:t>
      </w:r>
      <w:r w:rsidRPr="006259AF">
        <w:rPr>
          <w:noProof/>
          <w:sz w:val="24"/>
          <w:szCs w:val="24"/>
        </w:rPr>
        <w:t xml:space="preserve">, </w:t>
      </w:r>
      <w:r w:rsidRPr="006259AF">
        <w:rPr>
          <w:iCs/>
          <w:noProof/>
          <w:sz w:val="24"/>
          <w:szCs w:val="24"/>
        </w:rPr>
        <w:t>3</w:t>
      </w:r>
      <w:r w:rsidRPr="006259AF">
        <w:rPr>
          <w:noProof/>
          <w:sz w:val="24"/>
          <w:szCs w:val="24"/>
        </w:rPr>
        <w:t>(6), 587–590. doi:10.1038/nclimate1846</w:t>
      </w:r>
    </w:p>
    <w:p w14:paraId="2D341D41" w14:textId="77777777" w:rsidR="006259AF" w:rsidRPr="006259AF" w:rsidRDefault="006259AF" w:rsidP="006259AF">
      <w:pPr>
        <w:pStyle w:val="NormalWeb"/>
        <w:ind w:left="720" w:hanging="720"/>
        <w:rPr>
          <w:noProof/>
          <w:sz w:val="24"/>
          <w:szCs w:val="24"/>
        </w:rPr>
      </w:pPr>
      <w:r w:rsidRPr="006259AF">
        <w:rPr>
          <w:noProof/>
          <w:sz w:val="24"/>
          <w:szCs w:val="24"/>
        </w:rPr>
        <w:t>Oksanen, J., Guillaume Blanchet, F., Kindt, R., Legendre, P., Minchin, P.R., O'Hara, R.B., Simpson, G.L., Solymos P., Stevens, M.H.H., and Wagner, H. (2013). vegan: Community Ecology Package. R package version 2.0-8. http://CRAN.R-project.org/package=vegan.</w:t>
      </w:r>
    </w:p>
    <w:p w14:paraId="43530A0D" w14:textId="77777777" w:rsidR="006259AF" w:rsidRPr="006259AF" w:rsidRDefault="006259AF" w:rsidP="006259AF">
      <w:pPr>
        <w:pStyle w:val="NormalWeb"/>
        <w:ind w:left="720" w:hanging="720"/>
        <w:rPr>
          <w:noProof/>
          <w:sz w:val="24"/>
          <w:szCs w:val="24"/>
        </w:rPr>
      </w:pPr>
      <w:r w:rsidRPr="006259AF">
        <w:rPr>
          <w:noProof/>
          <w:sz w:val="24"/>
          <w:szCs w:val="24"/>
        </w:rPr>
        <w:t xml:space="preserve">Orr, J. C., Fabry, V. J., Aumont, O., Bopp, L., Doney, S. C., Feely, R.A., Gnandesikan, A., Gruber, N., Ishida, A., Joos, F. et al. (2005). Anthropogenic ocean acidification over the twenty-first century and its impact on calcifying organisms. </w:t>
      </w:r>
      <w:r w:rsidRPr="006259AF">
        <w:rPr>
          <w:i/>
          <w:iCs/>
          <w:noProof/>
          <w:sz w:val="24"/>
          <w:szCs w:val="24"/>
        </w:rPr>
        <w:t>Nature</w:t>
      </w:r>
      <w:r w:rsidRPr="006259AF">
        <w:rPr>
          <w:noProof/>
          <w:sz w:val="24"/>
          <w:szCs w:val="24"/>
        </w:rPr>
        <w:t xml:space="preserve">, </w:t>
      </w:r>
      <w:r w:rsidRPr="006259AF">
        <w:rPr>
          <w:iCs/>
          <w:noProof/>
          <w:sz w:val="24"/>
          <w:szCs w:val="24"/>
        </w:rPr>
        <w:t>437</w:t>
      </w:r>
      <w:r w:rsidRPr="006259AF">
        <w:rPr>
          <w:noProof/>
          <w:sz w:val="24"/>
          <w:szCs w:val="24"/>
        </w:rPr>
        <w:t>(7059), 681–6. doi:10.1038/nature04095</w:t>
      </w:r>
    </w:p>
    <w:p w14:paraId="63B55A7B" w14:textId="77777777" w:rsidR="006259AF" w:rsidRPr="006259AF" w:rsidRDefault="006259AF" w:rsidP="006259AF">
      <w:pPr>
        <w:pStyle w:val="NormalWeb"/>
        <w:ind w:left="720" w:hanging="720"/>
        <w:rPr>
          <w:noProof/>
          <w:sz w:val="24"/>
          <w:szCs w:val="24"/>
        </w:rPr>
      </w:pPr>
      <w:r w:rsidRPr="006259AF">
        <w:rPr>
          <w:noProof/>
          <w:sz w:val="24"/>
          <w:szCs w:val="24"/>
        </w:rPr>
        <w:t xml:space="preserve">Paine, R. T. (1971). Energy flow in a natural population of the herbivorous gastropod Tegula funebralis. </w:t>
      </w:r>
      <w:r w:rsidRPr="006259AF">
        <w:rPr>
          <w:i/>
          <w:iCs/>
          <w:noProof/>
          <w:sz w:val="24"/>
          <w:szCs w:val="24"/>
        </w:rPr>
        <w:t>Limnology and Oceanography</w:t>
      </w:r>
      <w:r w:rsidRPr="006259AF">
        <w:rPr>
          <w:noProof/>
          <w:sz w:val="24"/>
          <w:szCs w:val="24"/>
        </w:rPr>
        <w:t xml:space="preserve">, </w:t>
      </w:r>
      <w:r w:rsidRPr="006259AF">
        <w:rPr>
          <w:iCs/>
          <w:noProof/>
          <w:sz w:val="24"/>
          <w:szCs w:val="24"/>
        </w:rPr>
        <w:t>16</w:t>
      </w:r>
      <w:r w:rsidRPr="006259AF">
        <w:rPr>
          <w:noProof/>
          <w:sz w:val="24"/>
          <w:szCs w:val="24"/>
        </w:rPr>
        <w:t>(1), 86–98.</w:t>
      </w:r>
    </w:p>
    <w:p w14:paraId="3F5CFEA5" w14:textId="77777777" w:rsidR="006259AF" w:rsidRPr="006259AF" w:rsidRDefault="006259AF" w:rsidP="006259AF">
      <w:pPr>
        <w:pStyle w:val="NormalWeb"/>
        <w:ind w:left="720" w:hanging="720"/>
        <w:rPr>
          <w:noProof/>
          <w:sz w:val="24"/>
          <w:szCs w:val="24"/>
        </w:rPr>
      </w:pPr>
      <w:r w:rsidRPr="006259AF">
        <w:rPr>
          <w:noProof/>
          <w:sz w:val="24"/>
          <w:szCs w:val="24"/>
        </w:rPr>
        <w:t xml:space="preserve">Palmer, A. R. (1992). Calcification in marine molluscs: how costly is it? </w:t>
      </w:r>
      <w:r w:rsidRPr="006259AF">
        <w:rPr>
          <w:i/>
          <w:iCs/>
          <w:noProof/>
          <w:sz w:val="24"/>
          <w:szCs w:val="24"/>
        </w:rPr>
        <w:t>Proceedings of the National Academy of Sciences of the United States of America</w:t>
      </w:r>
      <w:r w:rsidRPr="006259AF">
        <w:rPr>
          <w:noProof/>
          <w:sz w:val="24"/>
          <w:szCs w:val="24"/>
        </w:rPr>
        <w:t xml:space="preserve">, </w:t>
      </w:r>
      <w:r w:rsidRPr="006259AF">
        <w:rPr>
          <w:iCs/>
          <w:noProof/>
          <w:sz w:val="24"/>
          <w:szCs w:val="24"/>
        </w:rPr>
        <w:t>89</w:t>
      </w:r>
      <w:r w:rsidRPr="006259AF">
        <w:rPr>
          <w:noProof/>
          <w:sz w:val="24"/>
          <w:szCs w:val="24"/>
        </w:rPr>
        <w:t>(4), 1379–82.</w:t>
      </w:r>
    </w:p>
    <w:p w14:paraId="6DA1D13C" w14:textId="77777777" w:rsidR="006259AF" w:rsidRPr="006259AF" w:rsidRDefault="006259AF" w:rsidP="006259AF">
      <w:pPr>
        <w:pStyle w:val="NormalWeb"/>
        <w:ind w:left="720" w:hanging="720"/>
        <w:rPr>
          <w:noProof/>
          <w:sz w:val="24"/>
          <w:szCs w:val="24"/>
        </w:rPr>
      </w:pPr>
      <w:r w:rsidRPr="006259AF">
        <w:rPr>
          <w:noProof/>
          <w:sz w:val="24"/>
          <w:szCs w:val="24"/>
        </w:rPr>
        <w:t xml:space="preserve">Pamplona, R., Barja, G., and Portero-Otín, M. (2002). Membrane Fatty Acid Unsaturation, Protection against Oxidative Stress, and Maximum Life Span. </w:t>
      </w:r>
      <w:r w:rsidRPr="006259AF">
        <w:rPr>
          <w:i/>
          <w:iCs/>
          <w:noProof/>
          <w:sz w:val="24"/>
          <w:szCs w:val="24"/>
        </w:rPr>
        <w:t>Annals of the New York Academy of Sciences</w:t>
      </w:r>
      <w:r w:rsidRPr="006259AF">
        <w:rPr>
          <w:noProof/>
          <w:sz w:val="24"/>
          <w:szCs w:val="24"/>
        </w:rPr>
        <w:t xml:space="preserve">, </w:t>
      </w:r>
      <w:r w:rsidRPr="006259AF">
        <w:rPr>
          <w:iCs/>
          <w:noProof/>
          <w:sz w:val="24"/>
          <w:szCs w:val="24"/>
        </w:rPr>
        <w:t>959</w:t>
      </w:r>
      <w:r w:rsidRPr="006259AF">
        <w:rPr>
          <w:noProof/>
          <w:sz w:val="24"/>
          <w:szCs w:val="24"/>
        </w:rPr>
        <w:t>, 475–490.</w:t>
      </w:r>
    </w:p>
    <w:p w14:paraId="73E4EE12" w14:textId="77777777" w:rsidR="006259AF" w:rsidRPr="006259AF" w:rsidRDefault="006259AF" w:rsidP="006259AF">
      <w:pPr>
        <w:pStyle w:val="NormalWeb"/>
        <w:ind w:left="720" w:hanging="720"/>
        <w:rPr>
          <w:noProof/>
          <w:sz w:val="24"/>
          <w:szCs w:val="24"/>
        </w:rPr>
      </w:pPr>
      <w:r w:rsidRPr="006259AF">
        <w:rPr>
          <w:noProof/>
          <w:sz w:val="24"/>
          <w:szCs w:val="24"/>
        </w:rPr>
        <w:t>Parker, L. M., Ross, P. M., and O’Connor, W.A. (2010). Comparing the effect of elevated pCO</w:t>
      </w:r>
      <w:r w:rsidRPr="006259AF">
        <w:rPr>
          <w:noProof/>
          <w:sz w:val="24"/>
          <w:szCs w:val="24"/>
          <w:vertAlign w:val="subscript"/>
        </w:rPr>
        <w:t>2</w:t>
      </w:r>
      <w:r w:rsidRPr="006259AF">
        <w:rPr>
          <w:noProof/>
          <w:sz w:val="24"/>
          <w:szCs w:val="24"/>
        </w:rPr>
        <w:t xml:space="preserve"> and temperature on the fertilization and early development of two species of oysters. </w:t>
      </w:r>
      <w:r w:rsidRPr="006259AF">
        <w:rPr>
          <w:i/>
          <w:iCs/>
          <w:noProof/>
          <w:sz w:val="24"/>
          <w:szCs w:val="24"/>
        </w:rPr>
        <w:t>Marine Biology</w:t>
      </w:r>
      <w:r w:rsidRPr="006259AF">
        <w:rPr>
          <w:noProof/>
          <w:sz w:val="24"/>
          <w:szCs w:val="24"/>
        </w:rPr>
        <w:t xml:space="preserve">, </w:t>
      </w:r>
      <w:r w:rsidRPr="006259AF">
        <w:rPr>
          <w:iCs/>
          <w:noProof/>
          <w:sz w:val="24"/>
          <w:szCs w:val="24"/>
        </w:rPr>
        <w:t>157</w:t>
      </w:r>
      <w:r w:rsidRPr="006259AF">
        <w:rPr>
          <w:noProof/>
          <w:sz w:val="24"/>
          <w:szCs w:val="24"/>
        </w:rPr>
        <w:t>(11), 2435–2452. doi:10.1007/s00227-010-1508-3</w:t>
      </w:r>
    </w:p>
    <w:p w14:paraId="308E0B5F" w14:textId="77777777" w:rsidR="006259AF" w:rsidRPr="006259AF" w:rsidRDefault="006259AF" w:rsidP="006259AF">
      <w:pPr>
        <w:pStyle w:val="NormalWeb"/>
        <w:ind w:left="720" w:hanging="720"/>
        <w:rPr>
          <w:noProof/>
          <w:sz w:val="24"/>
          <w:szCs w:val="24"/>
        </w:rPr>
      </w:pPr>
      <w:r w:rsidRPr="006259AF">
        <w:rPr>
          <w:noProof/>
          <w:sz w:val="24"/>
          <w:szCs w:val="24"/>
        </w:rPr>
        <w:t>Parrou, J. L., Teste, M., Franqois, J., Durand, G., and Cnrs, U. M. R. (1997). Effects of various types of stress on the metabolism of reserve carbohydrates in Saccharomyces cerevisiae</w:t>
      </w:r>
      <w:r w:rsidRPr="006259AF">
        <w:rPr>
          <w:rFonts w:ascii="Times New Roman" w:hAnsi="Times New Roman"/>
          <w:noProof/>
          <w:sz w:val="24"/>
          <w:szCs w:val="24"/>
        </w:rPr>
        <w:t> </w:t>
      </w:r>
      <w:r w:rsidRPr="006259AF">
        <w:rPr>
          <w:noProof/>
          <w:sz w:val="24"/>
          <w:szCs w:val="24"/>
        </w:rPr>
        <w:t xml:space="preserve">: genetic evidence for a stress-induced recycling of glycogen and trehalose. </w:t>
      </w:r>
      <w:r w:rsidRPr="006259AF">
        <w:rPr>
          <w:i/>
          <w:noProof/>
          <w:sz w:val="24"/>
          <w:szCs w:val="24"/>
        </w:rPr>
        <w:t>Microbiology</w:t>
      </w:r>
      <w:r w:rsidRPr="006259AF">
        <w:rPr>
          <w:noProof/>
          <w:sz w:val="24"/>
          <w:szCs w:val="24"/>
        </w:rPr>
        <w:t>, 143, 1891–1900.</w:t>
      </w:r>
    </w:p>
    <w:p w14:paraId="54570577" w14:textId="77777777" w:rsidR="006259AF" w:rsidRPr="006259AF" w:rsidRDefault="006259AF" w:rsidP="006259AF">
      <w:pPr>
        <w:pStyle w:val="NormalWeb"/>
        <w:ind w:left="720" w:hanging="720"/>
        <w:rPr>
          <w:noProof/>
          <w:sz w:val="24"/>
          <w:szCs w:val="24"/>
        </w:rPr>
      </w:pPr>
      <w:r w:rsidRPr="006259AF">
        <w:rPr>
          <w:noProof/>
          <w:sz w:val="24"/>
          <w:szCs w:val="24"/>
        </w:rPr>
        <w:t xml:space="preserve">Pespeni, M. H., Sanford, E., Gaylord, B., Hill, T. M., Hosfelt, J. D., Jaris, H. K., LaVigne, M., Lenz, E.A., Russell, A.D., Young, M.D., et al. (2013). Evolutionary change during experimental ocean acidification. </w:t>
      </w:r>
      <w:r w:rsidRPr="006259AF">
        <w:rPr>
          <w:i/>
          <w:iCs/>
          <w:noProof/>
          <w:sz w:val="24"/>
          <w:szCs w:val="24"/>
        </w:rPr>
        <w:t>Proceedings of the National Academy of Sciences of the United States of America</w:t>
      </w:r>
      <w:r w:rsidRPr="006259AF">
        <w:rPr>
          <w:noProof/>
          <w:sz w:val="24"/>
          <w:szCs w:val="24"/>
        </w:rPr>
        <w:t xml:space="preserve">, </w:t>
      </w:r>
      <w:r w:rsidRPr="006259AF">
        <w:rPr>
          <w:iCs/>
          <w:noProof/>
          <w:sz w:val="24"/>
          <w:szCs w:val="24"/>
        </w:rPr>
        <w:t>110</w:t>
      </w:r>
      <w:r w:rsidRPr="006259AF">
        <w:rPr>
          <w:noProof/>
          <w:sz w:val="24"/>
          <w:szCs w:val="24"/>
        </w:rPr>
        <w:t>(17), 6937–42. doi:10.1073/pnas.1220673110</w:t>
      </w:r>
    </w:p>
    <w:p w14:paraId="29798AC9" w14:textId="77777777" w:rsidR="006259AF" w:rsidRPr="006259AF" w:rsidRDefault="006259AF" w:rsidP="006259AF">
      <w:pPr>
        <w:pStyle w:val="NormalWeb"/>
        <w:ind w:left="720" w:hanging="720"/>
        <w:rPr>
          <w:noProof/>
          <w:sz w:val="24"/>
          <w:szCs w:val="24"/>
        </w:rPr>
      </w:pPr>
      <w:r w:rsidRPr="006259AF">
        <w:rPr>
          <w:noProof/>
          <w:sz w:val="24"/>
          <w:szCs w:val="24"/>
        </w:rPr>
        <w:t xml:space="preserve">Pettersen, A. K., Turchini, G. M., Jahangard, S., Ingram, B.A., and Sherman, C. D. H. (2010). Effects of different dietary microalgae on survival, growth, settlement and fatty acid composition of blue mussel (Mytilus galloprovincialis) larvae. </w:t>
      </w:r>
      <w:r w:rsidRPr="006259AF">
        <w:rPr>
          <w:i/>
          <w:iCs/>
          <w:noProof/>
          <w:sz w:val="24"/>
          <w:szCs w:val="24"/>
        </w:rPr>
        <w:t>Aquaculture</w:t>
      </w:r>
      <w:r w:rsidRPr="006259AF">
        <w:rPr>
          <w:noProof/>
          <w:sz w:val="24"/>
          <w:szCs w:val="24"/>
        </w:rPr>
        <w:t xml:space="preserve">, </w:t>
      </w:r>
      <w:r w:rsidRPr="006259AF">
        <w:rPr>
          <w:iCs/>
          <w:noProof/>
          <w:sz w:val="24"/>
          <w:szCs w:val="24"/>
        </w:rPr>
        <w:t>309</w:t>
      </w:r>
      <w:r w:rsidRPr="006259AF">
        <w:rPr>
          <w:noProof/>
          <w:sz w:val="24"/>
          <w:szCs w:val="24"/>
        </w:rPr>
        <w:t>(1-4), 115–124. doi:10.1016/j.aquaculture.2010.09.024</w:t>
      </w:r>
    </w:p>
    <w:p w14:paraId="36CE11B8" w14:textId="77777777" w:rsidR="006259AF" w:rsidRPr="006259AF" w:rsidRDefault="006259AF" w:rsidP="006259AF">
      <w:pPr>
        <w:pStyle w:val="NormalWeb"/>
        <w:ind w:left="720" w:hanging="720"/>
        <w:rPr>
          <w:noProof/>
          <w:sz w:val="24"/>
          <w:szCs w:val="24"/>
        </w:rPr>
      </w:pPr>
      <w:r w:rsidRPr="006259AF">
        <w:rPr>
          <w:noProof/>
          <w:sz w:val="24"/>
          <w:szCs w:val="24"/>
        </w:rPr>
        <w:t>R Core Team (2013). R: A language and environment for statistical computing. R Foundation for Statistical Computing, Vienna, Austria. URL http://www.R-project.org/.</w:t>
      </w:r>
    </w:p>
    <w:p w14:paraId="1A8A8B60" w14:textId="77777777" w:rsidR="006259AF" w:rsidRPr="006259AF" w:rsidRDefault="006259AF" w:rsidP="006259AF">
      <w:pPr>
        <w:pStyle w:val="NormalWeb"/>
        <w:ind w:left="720" w:hanging="720"/>
        <w:rPr>
          <w:noProof/>
          <w:sz w:val="24"/>
          <w:szCs w:val="24"/>
        </w:rPr>
      </w:pPr>
      <w:r w:rsidRPr="006259AF">
        <w:rPr>
          <w:noProof/>
          <w:sz w:val="24"/>
          <w:szCs w:val="24"/>
        </w:rPr>
        <w:t>Robbins, L.L., Hansen, M.E., Kleypas, J.A., and Meylan, S.C. (2010). CO</w:t>
      </w:r>
      <w:r w:rsidRPr="006259AF">
        <w:rPr>
          <w:noProof/>
          <w:sz w:val="24"/>
          <w:szCs w:val="24"/>
          <w:vertAlign w:val="subscript"/>
        </w:rPr>
        <w:t>2</w:t>
      </w:r>
      <w:r w:rsidRPr="006259AF">
        <w:rPr>
          <w:noProof/>
          <w:sz w:val="24"/>
          <w:szCs w:val="24"/>
        </w:rPr>
        <w:t>calc - A user-friends seawater carbon calculator for Windows, Mac OS X, and iOS (iPhone): U.S. Geoglogical Survey Open-File Report 2010-1280. 17 pp.</w:t>
      </w:r>
    </w:p>
    <w:p w14:paraId="501198F2" w14:textId="77777777" w:rsidR="006259AF" w:rsidRPr="006259AF" w:rsidRDefault="006259AF" w:rsidP="006259AF">
      <w:pPr>
        <w:pStyle w:val="NormalWeb"/>
        <w:ind w:left="720" w:hanging="720"/>
        <w:rPr>
          <w:noProof/>
          <w:sz w:val="24"/>
          <w:szCs w:val="24"/>
        </w:rPr>
      </w:pPr>
      <w:r w:rsidRPr="006259AF">
        <w:rPr>
          <w:noProof/>
          <w:sz w:val="24"/>
          <w:szCs w:val="24"/>
        </w:rPr>
        <w:t xml:space="preserve">Rosenberg, G. D. and Hughes, W. W. (1991). A metabolic model for the determination of shell composition in the bivalve mollusc, Mytilus edulis. </w:t>
      </w:r>
      <w:r w:rsidRPr="006259AF">
        <w:rPr>
          <w:i/>
          <w:iCs/>
          <w:noProof/>
          <w:sz w:val="24"/>
          <w:szCs w:val="24"/>
        </w:rPr>
        <w:t>Lethaia</w:t>
      </w:r>
      <w:r w:rsidRPr="006259AF">
        <w:rPr>
          <w:noProof/>
          <w:sz w:val="24"/>
          <w:szCs w:val="24"/>
        </w:rPr>
        <w:t xml:space="preserve">, </w:t>
      </w:r>
      <w:r w:rsidRPr="006259AF">
        <w:rPr>
          <w:iCs/>
          <w:noProof/>
          <w:sz w:val="24"/>
          <w:szCs w:val="24"/>
        </w:rPr>
        <w:t>24</w:t>
      </w:r>
      <w:r w:rsidRPr="006259AF">
        <w:rPr>
          <w:noProof/>
          <w:sz w:val="24"/>
          <w:szCs w:val="24"/>
        </w:rPr>
        <w:t>(1), 83–96.</w:t>
      </w:r>
    </w:p>
    <w:p w14:paraId="4E256929" w14:textId="77777777" w:rsidR="006259AF" w:rsidRPr="006259AF" w:rsidRDefault="006259AF" w:rsidP="006259AF">
      <w:pPr>
        <w:pStyle w:val="NormalWeb"/>
        <w:ind w:left="720" w:hanging="720"/>
        <w:rPr>
          <w:noProof/>
          <w:sz w:val="24"/>
          <w:szCs w:val="24"/>
        </w:rPr>
      </w:pPr>
      <w:r w:rsidRPr="006259AF">
        <w:rPr>
          <w:noProof/>
          <w:sz w:val="24"/>
          <w:szCs w:val="24"/>
        </w:rPr>
        <w:t xml:space="preserve">Soudant, P., Van Ryckeghem, K., Marty, Y., Moal, J., Samain, J. F., and Sorgeloos, P. (1999). Comparison of the lipid class and fatty acid composition between a reproductive cycle in nature and a standard hatchery conditioning of the Pacific Oyster Crassostrea gigas. </w:t>
      </w:r>
      <w:r w:rsidRPr="006259AF">
        <w:rPr>
          <w:i/>
          <w:iCs/>
          <w:noProof/>
          <w:sz w:val="24"/>
          <w:szCs w:val="24"/>
        </w:rPr>
        <w:t>Comparative Biochemistry and Physiology Part B: Biochemistry and Molecular Biology</w:t>
      </w:r>
      <w:r w:rsidRPr="006259AF">
        <w:rPr>
          <w:noProof/>
          <w:sz w:val="24"/>
          <w:szCs w:val="24"/>
        </w:rPr>
        <w:t xml:space="preserve">, </w:t>
      </w:r>
      <w:r w:rsidRPr="006259AF">
        <w:rPr>
          <w:iCs/>
          <w:noProof/>
          <w:sz w:val="24"/>
          <w:szCs w:val="24"/>
        </w:rPr>
        <w:t>123</w:t>
      </w:r>
      <w:r w:rsidRPr="006259AF">
        <w:rPr>
          <w:noProof/>
          <w:sz w:val="24"/>
          <w:szCs w:val="24"/>
        </w:rPr>
        <w:t>(2), 209–222. doi:10.1016/S0305-0491(99)00063-2</w:t>
      </w:r>
    </w:p>
    <w:p w14:paraId="0C401D4B" w14:textId="77777777" w:rsidR="006259AF" w:rsidRPr="006259AF" w:rsidRDefault="006259AF" w:rsidP="006259AF">
      <w:pPr>
        <w:pStyle w:val="NormalWeb"/>
        <w:ind w:left="720" w:hanging="720"/>
        <w:rPr>
          <w:noProof/>
          <w:sz w:val="24"/>
          <w:szCs w:val="24"/>
        </w:rPr>
      </w:pPr>
      <w:r w:rsidRPr="006259AF">
        <w:rPr>
          <w:noProof/>
          <w:sz w:val="24"/>
          <w:szCs w:val="24"/>
        </w:rPr>
        <w:t xml:space="preserve">Storey, J. D. (2002). A direct approach to false discovery rates. </w:t>
      </w:r>
      <w:r w:rsidRPr="006259AF">
        <w:rPr>
          <w:i/>
          <w:iCs/>
          <w:noProof/>
          <w:sz w:val="24"/>
          <w:szCs w:val="24"/>
        </w:rPr>
        <w:t>Journal of the Royal Statistical Society: Series B (Statistical Methodology)</w:t>
      </w:r>
      <w:r w:rsidRPr="006259AF">
        <w:rPr>
          <w:noProof/>
          <w:sz w:val="24"/>
          <w:szCs w:val="24"/>
        </w:rPr>
        <w:t xml:space="preserve">, </w:t>
      </w:r>
      <w:r w:rsidRPr="006259AF">
        <w:rPr>
          <w:iCs/>
          <w:noProof/>
          <w:sz w:val="24"/>
          <w:szCs w:val="24"/>
        </w:rPr>
        <w:t>64</w:t>
      </w:r>
      <w:r w:rsidRPr="006259AF">
        <w:rPr>
          <w:noProof/>
          <w:sz w:val="24"/>
          <w:szCs w:val="24"/>
        </w:rPr>
        <w:t>(3), 479–498. doi:10.1111/1467-9868.00346</w:t>
      </w:r>
    </w:p>
    <w:p w14:paraId="12B08018" w14:textId="77777777" w:rsidR="006259AF" w:rsidRPr="006259AF" w:rsidRDefault="006259AF" w:rsidP="006259AF">
      <w:pPr>
        <w:pStyle w:val="NormalWeb"/>
        <w:ind w:left="720" w:hanging="720"/>
        <w:rPr>
          <w:noProof/>
          <w:sz w:val="24"/>
          <w:szCs w:val="24"/>
        </w:rPr>
      </w:pPr>
      <w:r w:rsidRPr="006259AF">
        <w:rPr>
          <w:noProof/>
          <w:sz w:val="24"/>
          <w:szCs w:val="24"/>
        </w:rPr>
        <w:t xml:space="preserve">Storey, J. D. and Tibshirani, R. (2003). Statistical significance for genomewide studies. </w:t>
      </w:r>
      <w:r w:rsidRPr="006259AF">
        <w:rPr>
          <w:i/>
          <w:iCs/>
          <w:noProof/>
          <w:sz w:val="24"/>
          <w:szCs w:val="24"/>
        </w:rPr>
        <w:t>Proceedings of the National Academy of Sciences of the United States of America</w:t>
      </w:r>
      <w:r w:rsidRPr="006259AF">
        <w:rPr>
          <w:noProof/>
          <w:sz w:val="24"/>
          <w:szCs w:val="24"/>
        </w:rPr>
        <w:t xml:space="preserve">, </w:t>
      </w:r>
      <w:r w:rsidRPr="006259AF">
        <w:rPr>
          <w:iCs/>
          <w:noProof/>
          <w:sz w:val="24"/>
          <w:szCs w:val="24"/>
        </w:rPr>
        <w:t>100</w:t>
      </w:r>
      <w:r w:rsidRPr="006259AF">
        <w:rPr>
          <w:noProof/>
          <w:sz w:val="24"/>
          <w:szCs w:val="24"/>
        </w:rPr>
        <w:t>(16), 9440–5. doi:10.1073/pnas.1530509100</w:t>
      </w:r>
    </w:p>
    <w:p w14:paraId="182ED4E4" w14:textId="77777777" w:rsidR="006259AF" w:rsidRPr="006259AF" w:rsidRDefault="006259AF" w:rsidP="006259AF">
      <w:pPr>
        <w:pStyle w:val="NormalWeb"/>
        <w:ind w:left="720" w:hanging="720"/>
        <w:rPr>
          <w:noProof/>
          <w:sz w:val="24"/>
          <w:szCs w:val="24"/>
        </w:rPr>
      </w:pPr>
      <w:r w:rsidRPr="006259AF">
        <w:rPr>
          <w:noProof/>
          <w:sz w:val="24"/>
          <w:szCs w:val="24"/>
        </w:rPr>
        <w:t>Stumpp, M., Wren, J., Melzner, F., Thorndyke, M. C., and Dupont, S. T. (2011). CO</w:t>
      </w:r>
      <w:r w:rsidRPr="006259AF">
        <w:rPr>
          <w:noProof/>
          <w:sz w:val="24"/>
          <w:szCs w:val="24"/>
          <w:vertAlign w:val="subscript"/>
        </w:rPr>
        <w:t>2</w:t>
      </w:r>
      <w:r w:rsidRPr="006259AF">
        <w:rPr>
          <w:noProof/>
          <w:sz w:val="24"/>
          <w:szCs w:val="24"/>
        </w:rPr>
        <w:t xml:space="preserve"> induced seawater acidification impacts sea urchin larval development I: elevated metabolic rates decrease scope for growth and induce developmental delay. </w:t>
      </w:r>
      <w:r w:rsidRPr="006259AF">
        <w:rPr>
          <w:i/>
          <w:iCs/>
          <w:noProof/>
          <w:sz w:val="24"/>
          <w:szCs w:val="24"/>
        </w:rPr>
        <w:t>Comparative biochemistry and physiology. Part A, Molecular &amp; integrative physiology</w:t>
      </w:r>
      <w:r w:rsidRPr="006259AF">
        <w:rPr>
          <w:noProof/>
          <w:sz w:val="24"/>
          <w:szCs w:val="24"/>
        </w:rPr>
        <w:t xml:space="preserve">, </w:t>
      </w:r>
      <w:r w:rsidRPr="006259AF">
        <w:rPr>
          <w:iCs/>
          <w:noProof/>
          <w:sz w:val="24"/>
          <w:szCs w:val="24"/>
        </w:rPr>
        <w:t>160</w:t>
      </w:r>
      <w:r w:rsidRPr="006259AF">
        <w:rPr>
          <w:noProof/>
          <w:sz w:val="24"/>
          <w:szCs w:val="24"/>
        </w:rPr>
        <w:t>(3), 331–40. doi:10.1016/j.cbpa.2011.06.022</w:t>
      </w:r>
    </w:p>
    <w:p w14:paraId="57A9DCD5" w14:textId="77777777" w:rsidR="006259AF" w:rsidRPr="006259AF" w:rsidRDefault="006259AF" w:rsidP="006259AF">
      <w:pPr>
        <w:pStyle w:val="NormalWeb"/>
        <w:ind w:left="720" w:hanging="720"/>
        <w:rPr>
          <w:noProof/>
          <w:sz w:val="24"/>
          <w:szCs w:val="24"/>
        </w:rPr>
      </w:pPr>
      <w:r w:rsidRPr="006259AF">
        <w:rPr>
          <w:noProof/>
          <w:sz w:val="24"/>
          <w:szCs w:val="24"/>
        </w:rPr>
        <w:t xml:space="preserve">Talmage, S. C., and Gobler, C. J. (2011). Effects of elevated temperature and carbon dioxide on the growth and survival of larvae and juveniles of three species of northwest Atlantic bivalves. </w:t>
      </w:r>
      <w:r w:rsidRPr="006259AF">
        <w:rPr>
          <w:i/>
          <w:iCs/>
          <w:noProof/>
          <w:sz w:val="24"/>
          <w:szCs w:val="24"/>
        </w:rPr>
        <w:t>PloS one</w:t>
      </w:r>
      <w:r w:rsidRPr="006259AF">
        <w:rPr>
          <w:noProof/>
          <w:sz w:val="24"/>
          <w:szCs w:val="24"/>
        </w:rPr>
        <w:t xml:space="preserve">, </w:t>
      </w:r>
      <w:r w:rsidRPr="006259AF">
        <w:rPr>
          <w:iCs/>
          <w:noProof/>
          <w:sz w:val="24"/>
          <w:szCs w:val="24"/>
        </w:rPr>
        <w:t>6</w:t>
      </w:r>
      <w:r w:rsidRPr="006259AF">
        <w:rPr>
          <w:noProof/>
          <w:sz w:val="24"/>
          <w:szCs w:val="24"/>
        </w:rPr>
        <w:t>(10), e26941. doi:10.1371/journal.pone.0026941</w:t>
      </w:r>
    </w:p>
    <w:p w14:paraId="2A89C573" w14:textId="77777777" w:rsidR="006259AF" w:rsidRPr="006259AF" w:rsidRDefault="006259AF" w:rsidP="006259AF">
      <w:pPr>
        <w:pStyle w:val="NormalWeb"/>
        <w:ind w:left="720" w:hanging="720"/>
        <w:rPr>
          <w:noProof/>
          <w:sz w:val="24"/>
          <w:szCs w:val="24"/>
        </w:rPr>
      </w:pPr>
      <w:r w:rsidRPr="006259AF">
        <w:rPr>
          <w:noProof/>
          <w:sz w:val="24"/>
          <w:szCs w:val="24"/>
        </w:rPr>
        <w:t xml:space="preserve">Timmins-Schiffman, E., Nunn, B. L., Goodlett, D. R., and Roberts, S. B. (2013). Shotgun proteomics as a viable approach for biological discovery in the Pacific oyster. </w:t>
      </w:r>
      <w:r w:rsidRPr="006259AF">
        <w:rPr>
          <w:i/>
          <w:iCs/>
          <w:noProof/>
          <w:sz w:val="24"/>
          <w:szCs w:val="24"/>
        </w:rPr>
        <w:t>Conservation Physiology</w:t>
      </w:r>
      <w:r w:rsidRPr="006259AF">
        <w:rPr>
          <w:noProof/>
          <w:sz w:val="24"/>
          <w:szCs w:val="24"/>
        </w:rPr>
        <w:t xml:space="preserve">, </w:t>
      </w:r>
      <w:r w:rsidRPr="006259AF">
        <w:rPr>
          <w:iCs/>
          <w:noProof/>
          <w:sz w:val="24"/>
          <w:szCs w:val="24"/>
        </w:rPr>
        <w:t>1</w:t>
      </w:r>
      <w:r w:rsidRPr="006259AF">
        <w:rPr>
          <w:noProof/>
          <w:sz w:val="24"/>
          <w:szCs w:val="24"/>
        </w:rPr>
        <w:t>(1), cot009–cot009. doi:10.1093/conphys/cot009</w:t>
      </w:r>
    </w:p>
    <w:p w14:paraId="0268A01A" w14:textId="77777777" w:rsidR="006259AF" w:rsidRPr="006259AF" w:rsidRDefault="006259AF" w:rsidP="006259AF">
      <w:pPr>
        <w:pStyle w:val="NormalWeb"/>
        <w:ind w:left="720" w:hanging="720"/>
        <w:rPr>
          <w:noProof/>
          <w:sz w:val="24"/>
          <w:szCs w:val="24"/>
        </w:rPr>
      </w:pPr>
      <w:r w:rsidRPr="006259AF">
        <w:rPr>
          <w:noProof/>
          <w:sz w:val="24"/>
          <w:szCs w:val="24"/>
        </w:rPr>
        <w:t>Timmins-Schiffman, Emma, O’Donnell, M. J., Friedman, C. S., and Roberts, S. B. (2012). Elevated pCO</w:t>
      </w:r>
      <w:r w:rsidRPr="006259AF">
        <w:rPr>
          <w:noProof/>
          <w:sz w:val="24"/>
          <w:szCs w:val="24"/>
          <w:vertAlign w:val="subscript"/>
        </w:rPr>
        <w:t>2</w:t>
      </w:r>
      <w:r w:rsidRPr="006259AF">
        <w:rPr>
          <w:noProof/>
          <w:sz w:val="24"/>
          <w:szCs w:val="24"/>
        </w:rPr>
        <w:t xml:space="preserve"> causes developmental delay in early larval Pacific oysters, Crassostrea gigas. </w:t>
      </w:r>
      <w:r w:rsidRPr="006259AF">
        <w:rPr>
          <w:i/>
          <w:iCs/>
          <w:noProof/>
          <w:sz w:val="24"/>
          <w:szCs w:val="24"/>
        </w:rPr>
        <w:t>Marine Biology</w:t>
      </w:r>
      <w:r w:rsidRPr="006259AF">
        <w:rPr>
          <w:noProof/>
          <w:sz w:val="24"/>
          <w:szCs w:val="24"/>
        </w:rPr>
        <w:t xml:space="preserve">, </w:t>
      </w:r>
      <w:r w:rsidRPr="006259AF">
        <w:rPr>
          <w:iCs/>
          <w:noProof/>
          <w:sz w:val="24"/>
          <w:szCs w:val="24"/>
        </w:rPr>
        <w:t>160</w:t>
      </w:r>
      <w:r w:rsidRPr="006259AF">
        <w:rPr>
          <w:noProof/>
          <w:sz w:val="24"/>
          <w:szCs w:val="24"/>
        </w:rPr>
        <w:t>(8), 1973–1982. doi:10.1007/s00227-012-2055-x</w:t>
      </w:r>
    </w:p>
    <w:p w14:paraId="02D2B853" w14:textId="77777777" w:rsidR="006259AF" w:rsidRPr="006259AF" w:rsidRDefault="006259AF" w:rsidP="006259AF">
      <w:pPr>
        <w:pStyle w:val="NormalWeb"/>
        <w:ind w:left="720" w:hanging="720"/>
        <w:rPr>
          <w:noProof/>
          <w:sz w:val="24"/>
          <w:szCs w:val="24"/>
        </w:rPr>
      </w:pPr>
      <w:r w:rsidRPr="006259AF">
        <w:rPr>
          <w:noProof/>
          <w:sz w:val="24"/>
          <w:szCs w:val="24"/>
        </w:rPr>
        <w:t>Timmins-Schiffman, E. and Roberts, S.B. (2014a). SQLShare workflow for proteomics analysis. figshare. http://dx.doi.org/10.6084/m9.figshare.894323</w:t>
      </w:r>
    </w:p>
    <w:p w14:paraId="68F60871" w14:textId="3EE83A71" w:rsidR="006259AF" w:rsidRDefault="006259AF" w:rsidP="006259AF">
      <w:pPr>
        <w:pStyle w:val="NormalWeb"/>
        <w:ind w:left="720" w:hanging="720"/>
        <w:rPr>
          <w:noProof/>
          <w:sz w:val="24"/>
          <w:szCs w:val="24"/>
        </w:rPr>
      </w:pPr>
      <w:r w:rsidRPr="006259AF">
        <w:rPr>
          <w:noProof/>
          <w:sz w:val="24"/>
          <w:szCs w:val="24"/>
        </w:rPr>
        <w:t xml:space="preserve">Timmins-Schiffman, E. and Roberts, S.B. (2014b). iPath2 supplemental information. figshare. </w:t>
      </w:r>
      <w:hyperlink r:id="rId35" w:history="1">
        <w:r w:rsidR="00511229" w:rsidRPr="00914660">
          <w:rPr>
            <w:rStyle w:val="Hyperlink"/>
            <w:noProof/>
            <w:sz w:val="24"/>
            <w:szCs w:val="24"/>
          </w:rPr>
          <w:t>http://dx.doi.org/10.6084/m9.figshare.8999008</w:t>
        </w:r>
      </w:hyperlink>
    </w:p>
    <w:p w14:paraId="60BE4BEB" w14:textId="6E16D711" w:rsidR="00511229" w:rsidRPr="006259AF" w:rsidRDefault="00511229" w:rsidP="006259AF">
      <w:pPr>
        <w:pStyle w:val="NormalWeb"/>
        <w:ind w:left="720" w:hanging="720"/>
        <w:rPr>
          <w:noProof/>
          <w:sz w:val="24"/>
          <w:szCs w:val="24"/>
        </w:rPr>
      </w:pPr>
      <w:r>
        <w:rPr>
          <w:sz w:val="24"/>
        </w:rPr>
        <w:t xml:space="preserve">Timmins-Schiffman, E., and Roberts, S. (2014c). Supplementary Information accompanying proteomics manuscript. figshare. </w:t>
      </w:r>
      <w:hyperlink r:id="rId36" w:history="1">
        <w:r w:rsidRPr="00914660">
          <w:rPr>
            <w:rStyle w:val="Hyperlink"/>
            <w:sz w:val="24"/>
          </w:rPr>
          <w:t>http://dx.doi.org/10.6084/m9.figshare.958951</w:t>
        </w:r>
      </w:hyperlink>
    </w:p>
    <w:p w14:paraId="41AEC20B" w14:textId="77777777" w:rsidR="006259AF" w:rsidRPr="006259AF" w:rsidRDefault="006259AF" w:rsidP="006259AF">
      <w:pPr>
        <w:pStyle w:val="NormalWeb"/>
        <w:ind w:left="720" w:hanging="720"/>
        <w:rPr>
          <w:noProof/>
          <w:sz w:val="24"/>
          <w:szCs w:val="24"/>
        </w:rPr>
      </w:pPr>
      <w:r w:rsidRPr="006259AF">
        <w:rPr>
          <w:noProof/>
          <w:sz w:val="24"/>
          <w:szCs w:val="24"/>
        </w:rPr>
        <w:t xml:space="preserve">Todgham, A. E., and Hofmann, G. E. (2009). Transcriptomic response of sea urchin larvae Strongylocentrotus purpuratus to CO2-driven seawater acidification. </w:t>
      </w:r>
      <w:r w:rsidRPr="006259AF">
        <w:rPr>
          <w:i/>
          <w:iCs/>
          <w:noProof/>
          <w:sz w:val="24"/>
          <w:szCs w:val="24"/>
        </w:rPr>
        <w:t>The Journal of experimental biology</w:t>
      </w:r>
      <w:r w:rsidRPr="006259AF">
        <w:rPr>
          <w:noProof/>
          <w:sz w:val="24"/>
          <w:szCs w:val="24"/>
        </w:rPr>
        <w:t xml:space="preserve">, </w:t>
      </w:r>
      <w:r w:rsidRPr="006259AF">
        <w:rPr>
          <w:iCs/>
          <w:noProof/>
          <w:sz w:val="24"/>
          <w:szCs w:val="24"/>
        </w:rPr>
        <w:t>212</w:t>
      </w:r>
      <w:r w:rsidRPr="006259AF">
        <w:rPr>
          <w:noProof/>
          <w:sz w:val="24"/>
          <w:szCs w:val="24"/>
        </w:rPr>
        <w:t>(16), 2579–94. doi:10.1242/jeb.032540</w:t>
      </w:r>
    </w:p>
    <w:p w14:paraId="685700E0" w14:textId="77777777" w:rsidR="006259AF" w:rsidRPr="006259AF" w:rsidRDefault="006259AF" w:rsidP="006259AF">
      <w:pPr>
        <w:pStyle w:val="NormalWeb"/>
        <w:ind w:left="720" w:hanging="720"/>
        <w:rPr>
          <w:noProof/>
          <w:sz w:val="24"/>
          <w:szCs w:val="24"/>
        </w:rPr>
      </w:pPr>
      <w:r w:rsidRPr="006259AF">
        <w:rPr>
          <w:noProof/>
          <w:sz w:val="24"/>
          <w:szCs w:val="24"/>
        </w:rPr>
        <w:t>Tomanek, L., Zuzow, M. J., Ivanina, A. V, Beniash, E., and Sokolova, I. M. (2011). Proteomic response to elevated PCO</w:t>
      </w:r>
      <w:r w:rsidRPr="006259AF">
        <w:rPr>
          <w:noProof/>
          <w:sz w:val="24"/>
          <w:szCs w:val="24"/>
          <w:vertAlign w:val="subscript"/>
        </w:rPr>
        <w:t>2</w:t>
      </w:r>
      <w:r w:rsidRPr="006259AF">
        <w:rPr>
          <w:noProof/>
          <w:sz w:val="24"/>
          <w:szCs w:val="24"/>
        </w:rPr>
        <w:t xml:space="preserve"> level in eastern oysters, Crassostrea virginica: evidence for oxidative stress. </w:t>
      </w:r>
      <w:r w:rsidRPr="006259AF">
        <w:rPr>
          <w:i/>
          <w:iCs/>
          <w:noProof/>
          <w:sz w:val="24"/>
          <w:szCs w:val="24"/>
        </w:rPr>
        <w:t>The Journal of experimental biology</w:t>
      </w:r>
      <w:r w:rsidRPr="006259AF">
        <w:rPr>
          <w:noProof/>
          <w:sz w:val="24"/>
          <w:szCs w:val="24"/>
        </w:rPr>
        <w:t xml:space="preserve">, </w:t>
      </w:r>
      <w:r w:rsidRPr="006259AF">
        <w:rPr>
          <w:iCs/>
          <w:noProof/>
          <w:sz w:val="24"/>
          <w:szCs w:val="24"/>
        </w:rPr>
        <w:t>214</w:t>
      </w:r>
      <w:r w:rsidRPr="006259AF">
        <w:rPr>
          <w:noProof/>
          <w:sz w:val="24"/>
          <w:szCs w:val="24"/>
        </w:rPr>
        <w:t>(11), 1836–44. doi:10.1242/jeb.055475</w:t>
      </w:r>
    </w:p>
    <w:p w14:paraId="6CC98C41" w14:textId="77777777" w:rsidR="006259AF" w:rsidRPr="006259AF" w:rsidRDefault="006259AF" w:rsidP="006259AF">
      <w:pPr>
        <w:pStyle w:val="NormalWeb"/>
        <w:ind w:left="720" w:hanging="720"/>
        <w:rPr>
          <w:noProof/>
          <w:sz w:val="24"/>
          <w:szCs w:val="24"/>
        </w:rPr>
      </w:pPr>
      <w:r w:rsidRPr="006259AF">
        <w:rPr>
          <w:noProof/>
          <w:sz w:val="24"/>
          <w:szCs w:val="24"/>
        </w:rPr>
        <w:t xml:space="preserve">Trider, D. J., and Castell, J. D. (1980). Effect of dietary lipids on growth, tissue composition and metabolism of the oyster (Crassostrea virginica). </w:t>
      </w:r>
      <w:r w:rsidRPr="006259AF">
        <w:rPr>
          <w:i/>
          <w:iCs/>
          <w:noProof/>
          <w:sz w:val="24"/>
          <w:szCs w:val="24"/>
        </w:rPr>
        <w:t>The Journal of nutrition</w:t>
      </w:r>
      <w:r w:rsidRPr="006259AF">
        <w:rPr>
          <w:noProof/>
          <w:sz w:val="24"/>
          <w:szCs w:val="24"/>
        </w:rPr>
        <w:t xml:space="preserve">, </w:t>
      </w:r>
      <w:r w:rsidRPr="006259AF">
        <w:rPr>
          <w:iCs/>
          <w:noProof/>
          <w:sz w:val="24"/>
          <w:szCs w:val="24"/>
        </w:rPr>
        <w:t>110</w:t>
      </w:r>
      <w:r w:rsidRPr="006259AF">
        <w:rPr>
          <w:noProof/>
          <w:sz w:val="24"/>
          <w:szCs w:val="24"/>
        </w:rPr>
        <w:t>(7), 1303–9.</w:t>
      </w:r>
    </w:p>
    <w:p w14:paraId="0B1695A0" w14:textId="77777777" w:rsidR="006259AF" w:rsidRPr="006259AF" w:rsidRDefault="006259AF" w:rsidP="006259AF">
      <w:pPr>
        <w:pStyle w:val="NormalWeb"/>
        <w:ind w:left="720" w:hanging="720"/>
        <w:rPr>
          <w:noProof/>
          <w:sz w:val="24"/>
          <w:szCs w:val="24"/>
        </w:rPr>
      </w:pPr>
      <w:r w:rsidRPr="006259AF">
        <w:rPr>
          <w:noProof/>
          <w:sz w:val="24"/>
          <w:szCs w:val="24"/>
        </w:rPr>
        <w:t xml:space="preserve">Vijayan, M. M., and Moon, T. W. (1992). Acute Handling Stress Alters Hepatic Glycogen Metabolism in Food-Deprived Rainbow Trout (Oncorhynchus mykiss). </w:t>
      </w:r>
      <w:r w:rsidRPr="006259AF">
        <w:rPr>
          <w:i/>
          <w:iCs/>
          <w:noProof/>
          <w:sz w:val="24"/>
          <w:szCs w:val="24"/>
        </w:rPr>
        <w:t>Canadian Journal of Fisheries and Aquatic Sciences</w:t>
      </w:r>
      <w:r w:rsidRPr="006259AF">
        <w:rPr>
          <w:noProof/>
          <w:sz w:val="24"/>
          <w:szCs w:val="24"/>
        </w:rPr>
        <w:t xml:space="preserve">, </w:t>
      </w:r>
      <w:r w:rsidRPr="006259AF">
        <w:rPr>
          <w:iCs/>
          <w:noProof/>
          <w:sz w:val="24"/>
          <w:szCs w:val="24"/>
        </w:rPr>
        <w:t>49</w:t>
      </w:r>
      <w:r w:rsidRPr="006259AF">
        <w:rPr>
          <w:noProof/>
          <w:sz w:val="24"/>
          <w:szCs w:val="24"/>
        </w:rPr>
        <w:t>, 2260–2266.</w:t>
      </w:r>
    </w:p>
    <w:p w14:paraId="7C76BFE9" w14:textId="77777777" w:rsidR="006259AF" w:rsidRPr="006259AF" w:rsidRDefault="006259AF" w:rsidP="006259AF">
      <w:pPr>
        <w:pStyle w:val="NormalWeb"/>
        <w:ind w:left="720" w:hanging="720"/>
        <w:rPr>
          <w:noProof/>
          <w:sz w:val="24"/>
          <w:szCs w:val="24"/>
        </w:rPr>
      </w:pPr>
      <w:r w:rsidRPr="006259AF">
        <w:rPr>
          <w:noProof/>
          <w:sz w:val="24"/>
          <w:szCs w:val="24"/>
        </w:rPr>
        <w:t>Welladsen, H. M., Southgate, P. C.,  and Heimann, K. (2010). The effects of exposure to near-future levels of ocean acidification on shell characteristics of Pinctada fucata ( Bivalvia</w:t>
      </w:r>
      <w:r w:rsidRPr="006259AF">
        <w:rPr>
          <w:rFonts w:ascii="Times New Roman" w:hAnsi="Times New Roman"/>
          <w:noProof/>
          <w:sz w:val="24"/>
          <w:szCs w:val="24"/>
        </w:rPr>
        <w:t> </w:t>
      </w:r>
      <w:r w:rsidRPr="006259AF">
        <w:rPr>
          <w:noProof/>
          <w:sz w:val="24"/>
          <w:szCs w:val="24"/>
        </w:rPr>
        <w:t xml:space="preserve">: Pteriidae ). </w:t>
      </w:r>
      <w:r w:rsidRPr="006259AF">
        <w:rPr>
          <w:i/>
          <w:noProof/>
          <w:sz w:val="24"/>
          <w:szCs w:val="24"/>
        </w:rPr>
        <w:t>Molluscan Research</w:t>
      </w:r>
      <w:r w:rsidRPr="006259AF">
        <w:rPr>
          <w:noProof/>
          <w:sz w:val="24"/>
          <w:szCs w:val="24"/>
        </w:rPr>
        <w:t xml:space="preserve">, </w:t>
      </w:r>
      <w:r w:rsidRPr="006259AF">
        <w:rPr>
          <w:iCs/>
          <w:noProof/>
          <w:sz w:val="24"/>
          <w:szCs w:val="24"/>
        </w:rPr>
        <w:t>30</w:t>
      </w:r>
      <w:r w:rsidRPr="006259AF">
        <w:rPr>
          <w:noProof/>
          <w:sz w:val="24"/>
          <w:szCs w:val="24"/>
        </w:rPr>
        <w:t>(3), 125–130.</w:t>
      </w:r>
    </w:p>
    <w:p w14:paraId="72AD54F6" w14:textId="77777777" w:rsidR="006259AF" w:rsidRPr="006259AF" w:rsidRDefault="006259AF" w:rsidP="006259AF">
      <w:pPr>
        <w:pStyle w:val="NormalWeb"/>
        <w:ind w:left="720" w:hanging="720"/>
        <w:rPr>
          <w:noProof/>
          <w:sz w:val="24"/>
          <w:szCs w:val="24"/>
        </w:rPr>
      </w:pPr>
      <w:r w:rsidRPr="006259AF">
        <w:rPr>
          <w:noProof/>
          <w:sz w:val="24"/>
          <w:szCs w:val="24"/>
        </w:rPr>
        <w:t xml:space="preserve">Wong, K. K. W., Lane, A. C., Leung, P. T. Y., and Thiyagarajan, V. (2011). Response of larval barnacle proteome to CO(2)-driven seawater acidification. </w:t>
      </w:r>
      <w:r w:rsidRPr="006259AF">
        <w:rPr>
          <w:i/>
          <w:iCs/>
          <w:noProof/>
          <w:sz w:val="24"/>
          <w:szCs w:val="24"/>
        </w:rPr>
        <w:t>Comparative biochemistry and physiology. Part D, Genomics &amp; proteomics</w:t>
      </w:r>
      <w:r w:rsidRPr="006259AF">
        <w:rPr>
          <w:noProof/>
          <w:sz w:val="24"/>
          <w:szCs w:val="24"/>
        </w:rPr>
        <w:t xml:space="preserve">, </w:t>
      </w:r>
      <w:r w:rsidRPr="006259AF">
        <w:rPr>
          <w:iCs/>
          <w:noProof/>
          <w:sz w:val="24"/>
          <w:szCs w:val="24"/>
        </w:rPr>
        <w:t>6</w:t>
      </w:r>
      <w:r w:rsidRPr="006259AF">
        <w:rPr>
          <w:noProof/>
          <w:sz w:val="24"/>
          <w:szCs w:val="24"/>
        </w:rPr>
        <w:t>(3), 310–21. doi:10.1016/j.cbd.2011.07.001</w:t>
      </w:r>
    </w:p>
    <w:p w14:paraId="76E1E53F" w14:textId="7EA1635D" w:rsidR="00071B1D" w:rsidRPr="006259AF" w:rsidRDefault="006259AF" w:rsidP="006259AF">
      <w:pPr>
        <w:pStyle w:val="NormalWeb"/>
        <w:ind w:left="720" w:hanging="720"/>
        <w:rPr>
          <w:noProof/>
          <w:sz w:val="24"/>
          <w:szCs w:val="24"/>
        </w:rPr>
      </w:pPr>
      <w:r w:rsidRPr="006259AF">
        <w:rPr>
          <w:noProof/>
          <w:sz w:val="24"/>
          <w:szCs w:val="24"/>
        </w:rPr>
        <w:t xml:space="preserve">Yamada, T., Letunic, I., Okuda, S., Kanehisa, M., and Bork, P. (2011). iPath2.0: interactive pathway explorer. </w:t>
      </w:r>
      <w:r w:rsidRPr="006259AF">
        <w:rPr>
          <w:i/>
          <w:iCs/>
          <w:noProof/>
          <w:sz w:val="24"/>
          <w:szCs w:val="24"/>
        </w:rPr>
        <w:t>Nucleic acids research</w:t>
      </w:r>
      <w:r w:rsidRPr="006259AF">
        <w:rPr>
          <w:noProof/>
          <w:sz w:val="24"/>
          <w:szCs w:val="24"/>
        </w:rPr>
        <w:t xml:space="preserve">, </w:t>
      </w:r>
      <w:r w:rsidRPr="006259AF">
        <w:rPr>
          <w:iCs/>
          <w:noProof/>
          <w:sz w:val="24"/>
          <w:szCs w:val="24"/>
        </w:rPr>
        <w:t>39</w:t>
      </w:r>
      <w:r w:rsidRPr="006259AF">
        <w:rPr>
          <w:noProof/>
          <w:sz w:val="24"/>
          <w:szCs w:val="24"/>
        </w:rPr>
        <w:t>(Web Server issue), W412–5. doi:10.1093/nar/gkr313</w:t>
      </w:r>
    </w:p>
    <w:p w14:paraId="099B66E2" w14:textId="77777777" w:rsidR="00C85C10" w:rsidRDefault="00C85C10" w:rsidP="00C85C10"/>
    <w:p w14:paraId="3F7E29C0" w14:textId="77777777" w:rsidR="00264A18" w:rsidRDefault="00264A18" w:rsidP="00590C70">
      <w:pPr>
        <w:pStyle w:val="Heading1"/>
      </w:pPr>
    </w:p>
    <w:p w14:paraId="66146FE8" w14:textId="77777777" w:rsidR="00264A18" w:rsidRDefault="00264A18" w:rsidP="00590C70">
      <w:pPr>
        <w:pStyle w:val="Heading1"/>
      </w:pPr>
    </w:p>
    <w:p w14:paraId="39160A39" w14:textId="77777777" w:rsidR="00264A18" w:rsidRDefault="00264A18" w:rsidP="00590C70">
      <w:pPr>
        <w:pStyle w:val="Heading1"/>
      </w:pPr>
    </w:p>
    <w:p w14:paraId="1D92F89D" w14:textId="77777777" w:rsidR="00264A18" w:rsidRDefault="00264A18" w:rsidP="00590C70">
      <w:pPr>
        <w:pStyle w:val="Heading1"/>
      </w:pPr>
    </w:p>
    <w:p w14:paraId="2A585296" w14:textId="77777777" w:rsidR="00264A18" w:rsidRDefault="00264A18" w:rsidP="00590C70">
      <w:pPr>
        <w:pStyle w:val="Heading1"/>
      </w:pPr>
    </w:p>
    <w:p w14:paraId="19651D23" w14:textId="77777777" w:rsidR="00264A18" w:rsidRDefault="00264A18" w:rsidP="00590C70">
      <w:pPr>
        <w:pStyle w:val="Heading1"/>
      </w:pPr>
    </w:p>
    <w:p w14:paraId="571B769E" w14:textId="77777777" w:rsidR="00264A18" w:rsidRDefault="00264A18" w:rsidP="00590C70">
      <w:pPr>
        <w:pStyle w:val="Heading1"/>
      </w:pPr>
    </w:p>
    <w:p w14:paraId="53A2805C" w14:textId="77777777" w:rsidR="00264A18" w:rsidRDefault="00264A18" w:rsidP="00590C70">
      <w:pPr>
        <w:pStyle w:val="Heading1"/>
      </w:pPr>
    </w:p>
    <w:p w14:paraId="1C233805" w14:textId="77777777" w:rsidR="00264A18" w:rsidRDefault="00264A18" w:rsidP="00590C70">
      <w:pPr>
        <w:pStyle w:val="Heading1"/>
      </w:pPr>
    </w:p>
    <w:p w14:paraId="0E28CF31" w14:textId="77777777" w:rsidR="00264A18" w:rsidRDefault="00264A18" w:rsidP="00264A18"/>
    <w:p w14:paraId="2C9D39D3" w14:textId="77777777" w:rsidR="00114AD7" w:rsidRDefault="00114AD7" w:rsidP="00C03CD6">
      <w:pPr>
        <w:pStyle w:val="Heading1"/>
      </w:pPr>
    </w:p>
    <w:p w14:paraId="26C01ECF" w14:textId="77777777" w:rsidR="00114AD7" w:rsidRDefault="00114AD7" w:rsidP="00114AD7"/>
    <w:p w14:paraId="1F4F964B" w14:textId="77777777" w:rsidR="00590C70" w:rsidRDefault="00590C70" w:rsidP="00114AD7">
      <w:pPr>
        <w:pStyle w:val="Heading1"/>
      </w:pPr>
      <w:bookmarkStart w:id="87" w:name="_Toc257278829"/>
      <w:r>
        <w:t>Synthesis and Conclusion</w:t>
      </w:r>
      <w:bookmarkEnd w:id="87"/>
    </w:p>
    <w:p w14:paraId="4B457C82" w14:textId="77777777" w:rsidR="00590C70" w:rsidRPr="00FC15CF" w:rsidRDefault="00590C70" w:rsidP="00590C70"/>
    <w:p w14:paraId="43C66915" w14:textId="77777777" w:rsidR="00590C70" w:rsidRPr="00114AD7" w:rsidRDefault="00590C70" w:rsidP="00590C70">
      <w:pPr>
        <w:spacing w:line="360" w:lineRule="auto"/>
        <w:rPr>
          <w:rFonts w:ascii="Times" w:hAnsi="Times"/>
        </w:rPr>
      </w:pPr>
      <w:r>
        <w:tab/>
      </w:r>
      <w:r w:rsidRPr="00114AD7">
        <w:rPr>
          <w:rFonts w:ascii="Times" w:hAnsi="Times"/>
        </w:rPr>
        <w:t xml:space="preserve">The overall impacts of ocean acidification on marine bivalves are negative, leading to inhibited larval development and significant changes to molecular and phenotypic physiological responses across life stages.  However, many invertebrates also demonstrate extensive phenotypic plasticity in the face of ocean acidification, which may pave the way to adaptation to this environmental change.  Growth, development, and shell deposition continue at elevated </w:t>
      </w:r>
      <w:r w:rsidRPr="00114AD7">
        <w:rPr>
          <w:rFonts w:ascii="Times" w:hAnsi="Times"/>
          <w:i/>
        </w:rPr>
        <w:t>p</w:t>
      </w:r>
      <w:r w:rsidRPr="00114AD7">
        <w:rPr>
          <w:rFonts w:ascii="Times" w:hAnsi="Times"/>
        </w:rPr>
        <w:t>CO</w:t>
      </w:r>
      <w:r w:rsidRPr="00114AD7">
        <w:rPr>
          <w:rFonts w:ascii="Times" w:hAnsi="Times"/>
          <w:vertAlign w:val="subscript"/>
        </w:rPr>
        <w:t xml:space="preserve">2 </w:t>
      </w:r>
      <w:r w:rsidRPr="00114AD7">
        <w:rPr>
          <w:rFonts w:ascii="Times" w:hAnsi="Times"/>
        </w:rPr>
        <w:t xml:space="preserve">(usually at reduced rates), indicating a certain degree of tolerance in bivalves (Gaylord et al. 2011; Barros et al. 2013; Thomsen and Melzner 2010; Melzner et al. 2011; Dickinson et al. 2013). </w:t>
      </w:r>
      <w:r w:rsidRPr="00114AD7">
        <w:rPr>
          <w:rFonts w:ascii="Times" w:eastAsia="Times New Roman" w:hAnsi="Times" w:cs="Arial"/>
          <w:iCs/>
          <w:color w:val="000000"/>
          <w:lang w:eastAsia="en-US"/>
        </w:rPr>
        <w:t xml:space="preserve"> </w:t>
      </w:r>
      <w:r w:rsidRPr="00114AD7">
        <w:rPr>
          <w:rFonts w:ascii="Times" w:hAnsi="Times"/>
        </w:rPr>
        <w:t xml:space="preserve">This phenomenon may be due to the ecological and evolutionary history of many of these organisms.  Variability in responses to ocean acidification, which can signify tolerance in certain individuals, has been observed between species (Parker et al. 2010, 2012; Miller et al. 2009), habitats (Kelly et al. 2013), family groups (Yu et al. 2011), and offspring of broodstock exposed to different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regimes (Parker et al. 2012).  Most species studied in ocean acidification impact experiments are found in the nearshore environment, where they have been subjected to strong fluctuations in pH and other environmental parameters for generations.  Therefore, many of these species possess either the plasticity or a rapid evolutionary capacity (i.e. Pespeni et al. 2013) to adapt to this type of environmental change.</w:t>
      </w:r>
    </w:p>
    <w:p w14:paraId="2DBA2D03" w14:textId="0AF97322" w:rsidR="00590C70" w:rsidRPr="00114AD7" w:rsidRDefault="00590C70" w:rsidP="00590C70">
      <w:pPr>
        <w:spacing w:line="360" w:lineRule="auto"/>
        <w:rPr>
          <w:rFonts w:ascii="Times" w:hAnsi="Times"/>
        </w:rPr>
      </w:pPr>
      <w:r w:rsidRPr="00114AD7">
        <w:rPr>
          <w:rFonts w:ascii="Times" w:hAnsi="Times"/>
        </w:rPr>
        <w:tab/>
        <w:t>The main physiological struggle for bivalves during ocean acidification stress may be one of limited energy resources.  The extended stress of low pH places an energetic toll on bivalves, perhaps as increased energy is needed to maintain CaCO</w:t>
      </w:r>
      <w:r w:rsidRPr="00114AD7">
        <w:rPr>
          <w:rFonts w:ascii="Times" w:hAnsi="Times"/>
          <w:vertAlign w:val="subscript"/>
        </w:rPr>
        <w:t>3</w:t>
      </w:r>
      <w:r w:rsidRPr="00114AD7">
        <w:rPr>
          <w:rFonts w:ascii="Times" w:hAnsi="Times"/>
        </w:rPr>
        <w:t xml:space="preserve"> saturation in the calcifying compartment or cellular gradients of H</w:t>
      </w:r>
      <w:r w:rsidRPr="00114AD7">
        <w:rPr>
          <w:rFonts w:ascii="Times" w:hAnsi="Times"/>
          <w:vertAlign w:val="superscript"/>
        </w:rPr>
        <w:t>+</w:t>
      </w:r>
      <w:r w:rsidRPr="00114AD7">
        <w:rPr>
          <w:rFonts w:ascii="Times" w:hAnsi="Times"/>
        </w:rPr>
        <w:t>.  The effects of this energetic toll are seen in larvae and juveniles/adults.  In larvae, the negative effects of ocean acidification are frequently observed at the transition from reliance on maternally derived energy reserves to exogenous energy resources (Kurihara et al. 2007; Barton et al. 2012; Timmins-Schiffman et al. 2012).</w:t>
      </w:r>
      <w:r w:rsidR="00E90BBA" w:rsidRPr="00114AD7">
        <w:rPr>
          <w:rFonts w:ascii="Times" w:hAnsi="Times"/>
        </w:rPr>
        <w:t xml:space="preserve">  Larval sensitivity to elevated </w:t>
      </w:r>
      <w:r w:rsidR="00E90BBA" w:rsidRPr="00114AD7">
        <w:rPr>
          <w:rFonts w:ascii="Times" w:hAnsi="Times"/>
          <w:i/>
        </w:rPr>
        <w:t>p</w:t>
      </w:r>
      <w:r w:rsidR="00E90BBA" w:rsidRPr="00114AD7">
        <w:rPr>
          <w:rFonts w:ascii="Times" w:hAnsi="Times"/>
        </w:rPr>
        <w:t>CO</w:t>
      </w:r>
      <w:r w:rsidR="00E90BBA" w:rsidRPr="00114AD7">
        <w:rPr>
          <w:rFonts w:ascii="Times" w:hAnsi="Times"/>
          <w:vertAlign w:val="subscript"/>
        </w:rPr>
        <w:t>2</w:t>
      </w:r>
      <w:r w:rsidR="00E90BBA" w:rsidRPr="00114AD7">
        <w:rPr>
          <w:rFonts w:ascii="Times" w:hAnsi="Times"/>
        </w:rPr>
        <w:t xml:space="preserve"> cannot be fully ameliorated by the addition of increased food, as demonstrated in Olympia oyster larvae.  Increased food concentrations only slightly mitigated some growth parameters and had no effect on percent metamorphosis (Hettinger et al. 2013).</w:t>
      </w:r>
      <w:r w:rsidRPr="00114AD7">
        <w:rPr>
          <w:rFonts w:ascii="Times" w:hAnsi="Times"/>
        </w:rPr>
        <w:t xml:space="preserve">  </w:t>
      </w:r>
      <w:r w:rsidR="00E90BBA" w:rsidRPr="00114AD7">
        <w:rPr>
          <w:rFonts w:ascii="Times" w:hAnsi="Times"/>
        </w:rPr>
        <w:t>The larvae were likely not able to overcome the negative effects of ocean acidification due to the heightened sensitivity of larval calcification to changes in carbonate saturation state and the plethora of physiological changes that occur during the larval period.</w:t>
      </w:r>
    </w:p>
    <w:p w14:paraId="5A5D9285" w14:textId="3F2E2624" w:rsidR="00590C70" w:rsidRPr="00114AD7" w:rsidRDefault="00590C70" w:rsidP="00590C70">
      <w:pPr>
        <w:spacing w:line="360" w:lineRule="auto"/>
        <w:rPr>
          <w:rFonts w:ascii="Times" w:hAnsi="Times"/>
        </w:rPr>
      </w:pPr>
      <w:r w:rsidRPr="00114AD7">
        <w:rPr>
          <w:rFonts w:ascii="Times" w:hAnsi="Times"/>
        </w:rPr>
        <w:tab/>
      </w:r>
      <w:r w:rsidR="00E90BBA" w:rsidRPr="00114AD7">
        <w:rPr>
          <w:rFonts w:ascii="Times" w:hAnsi="Times"/>
        </w:rPr>
        <w:t>In contrast</w:t>
      </w:r>
      <w:r w:rsidRPr="00114AD7">
        <w:rPr>
          <w:rFonts w:ascii="Times" w:hAnsi="Times"/>
        </w:rPr>
        <w:t xml:space="preserve"> to larvae, the negative effects of ocean acidification on adult bivalves can sometimes be mitigated by </w:t>
      </w:r>
      <w:r w:rsidR="001C08F9" w:rsidRPr="00114AD7">
        <w:rPr>
          <w:rFonts w:ascii="Times" w:hAnsi="Times"/>
        </w:rPr>
        <w:t>increased</w:t>
      </w:r>
      <w:r w:rsidRPr="00114AD7">
        <w:rPr>
          <w:rFonts w:ascii="Times" w:hAnsi="Times"/>
        </w:rPr>
        <w:t xml:space="preserve"> food supply.  In </w:t>
      </w:r>
      <w:r w:rsidRPr="00114AD7">
        <w:rPr>
          <w:rFonts w:ascii="Times" w:hAnsi="Times"/>
          <w:i/>
        </w:rPr>
        <w:t>M. edulis</w:t>
      </w:r>
      <w:r w:rsidRPr="00114AD7">
        <w:rPr>
          <w:rFonts w:ascii="Times" w:hAnsi="Times"/>
        </w:rPr>
        <w:t xml:space="preserve">, mussels fed a low concentration of food had significantly decreased shell mass and somatic growth and increased shell corrosion at elevated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compared to mussels on a high food concentration regime (Melzner et al. 2011).  Similar results were also observed for mussels in the field (Thomsen et al. 2013).  The scallop </w:t>
      </w:r>
      <w:r w:rsidRPr="00114AD7">
        <w:rPr>
          <w:rFonts w:ascii="Times" w:hAnsi="Times"/>
          <w:i/>
        </w:rPr>
        <w:t>Pecten maximus</w:t>
      </w:r>
      <w:r w:rsidRPr="00114AD7">
        <w:rPr>
          <w:rFonts w:ascii="Times" w:hAnsi="Times"/>
        </w:rPr>
        <w:t xml:space="preserve">  </w:t>
      </w:r>
      <w:r w:rsidR="001C08F9" w:rsidRPr="00114AD7">
        <w:rPr>
          <w:rFonts w:ascii="Times" w:hAnsi="Times"/>
        </w:rPr>
        <w:t>had</w:t>
      </w:r>
      <w:r w:rsidRPr="00114AD7">
        <w:rPr>
          <w:rFonts w:ascii="Times" w:hAnsi="Times"/>
        </w:rPr>
        <w:t xml:space="preserve"> a high tolerance for low pH in an experiment where food supply was high (Sanders et al. 2013).  This trend has also been documented in cup corals (Crook et al. 2013).  These results imply that many of these species possess the physiological mechanisms and plasticity to maintain normal physiological homeostasis during ocean acidification stress.  Exposure to low pH necessitates compensation across a variety of physiological processes, but this compensation is feasible with access to sufficient resources.  However, these species mostly live in environments where consistent access to abundant food is rare.  This situation may lead to selection for individuals that are more efficient in their use of the energy that they are able to opportunistically capture from their environment.</w:t>
      </w:r>
      <w:r w:rsidRPr="00114AD7">
        <w:rPr>
          <w:rFonts w:ascii="Times" w:hAnsi="Times"/>
        </w:rPr>
        <w:tab/>
      </w:r>
    </w:p>
    <w:p w14:paraId="52CAEEA1" w14:textId="77777777" w:rsidR="00590C70" w:rsidRPr="00114AD7" w:rsidRDefault="00590C70" w:rsidP="00590C70">
      <w:pPr>
        <w:spacing w:line="360" w:lineRule="auto"/>
        <w:rPr>
          <w:rFonts w:ascii="Times" w:hAnsi="Times"/>
        </w:rPr>
      </w:pPr>
      <w:r w:rsidRPr="00114AD7">
        <w:rPr>
          <w:rFonts w:ascii="Times" w:hAnsi="Times"/>
        </w:rPr>
        <w:tab/>
        <w:t>There is increasing evidence that invertebrate populations harbor genotypes/phenotypes that are resistant to the detrimental effects of ocean acidification (Yu et al. 2011; Pespeni et al. 2013; Parker et al. 2012).  These more resistant species and individuals within species may be the ones that maintain ecosystem function in a changing climate.  Broadcast spawners may be especially adapted to thrive in a rapidly changing environment since many broodstock contribute to each spawning event, thus increasing the chances that a well-adapted phenotype will arise.  However, since many individuals will not thrive under ocean acidification conditions there is a risk of population bottlenecks that will reduce standing genetic diversity and make further adaptation untenable (e.g. Kelly et al. 2012).</w:t>
      </w:r>
    </w:p>
    <w:p w14:paraId="4E31690F" w14:textId="77777777" w:rsidR="00590C70" w:rsidRDefault="00590C70" w:rsidP="00590C70">
      <w:pPr>
        <w:spacing w:line="360" w:lineRule="auto"/>
      </w:pPr>
    </w:p>
    <w:p w14:paraId="589844BB" w14:textId="77777777" w:rsidR="00590C70" w:rsidRDefault="00590C70" w:rsidP="00590C70">
      <w:pPr>
        <w:pStyle w:val="Heading2"/>
      </w:pPr>
      <w:bookmarkStart w:id="88" w:name="_Toc257278830"/>
      <w:r>
        <w:t>Works Cited</w:t>
      </w:r>
      <w:bookmarkEnd w:id="88"/>
    </w:p>
    <w:p w14:paraId="6491A36E" w14:textId="77777777" w:rsidR="00590C70" w:rsidRPr="00114AD7" w:rsidRDefault="00590C70" w:rsidP="00590C70">
      <w:pPr>
        <w:pStyle w:val="NormalWeb"/>
        <w:ind w:left="480" w:hanging="480"/>
        <w:rPr>
          <w:noProof/>
          <w:sz w:val="24"/>
          <w:szCs w:val="24"/>
        </w:rPr>
      </w:pPr>
      <w:r>
        <w:fldChar w:fldCharType="begin" w:fldLock="1"/>
      </w:r>
      <w:r>
        <w:instrText xml:space="preserve">ADDIN Mendeley Bibliography CSL_BIBLIOGRAPHY </w:instrText>
      </w:r>
      <w:r>
        <w:fldChar w:fldCharType="separate"/>
      </w:r>
      <w:r w:rsidRPr="00114AD7">
        <w:rPr>
          <w:noProof/>
          <w:sz w:val="24"/>
          <w:szCs w:val="24"/>
        </w:rPr>
        <w:t xml:space="preserve">Barros, P., Sobral, P., Range, P., Chícharo, L., &amp; Matias, D. (2013). Effects of sea-water acidification on fertilization and larval development of the oyster Crassostrea gigas. </w:t>
      </w:r>
      <w:r w:rsidRPr="00114AD7">
        <w:rPr>
          <w:i/>
          <w:iCs/>
          <w:noProof/>
          <w:sz w:val="24"/>
          <w:szCs w:val="24"/>
        </w:rPr>
        <w:t>Journal of Experimental Marine Biology and Ecology</w:t>
      </w:r>
      <w:r w:rsidRPr="00114AD7">
        <w:rPr>
          <w:noProof/>
          <w:sz w:val="24"/>
          <w:szCs w:val="24"/>
        </w:rPr>
        <w:t xml:space="preserve">, </w:t>
      </w:r>
      <w:r w:rsidRPr="00114AD7">
        <w:rPr>
          <w:i/>
          <w:iCs/>
          <w:noProof/>
          <w:sz w:val="24"/>
          <w:szCs w:val="24"/>
        </w:rPr>
        <w:t>440</w:t>
      </w:r>
      <w:r w:rsidRPr="00114AD7">
        <w:rPr>
          <w:noProof/>
          <w:sz w:val="24"/>
          <w:szCs w:val="24"/>
        </w:rPr>
        <w:t>, 200–206. doi:10.1016/j.jembe.2012.12.014</w:t>
      </w:r>
    </w:p>
    <w:p w14:paraId="4237A993" w14:textId="69506680" w:rsidR="00590C70" w:rsidRPr="00114AD7" w:rsidRDefault="00590C70" w:rsidP="00590C70">
      <w:pPr>
        <w:pStyle w:val="NormalWeb"/>
        <w:ind w:left="480" w:hanging="480"/>
        <w:rPr>
          <w:noProof/>
          <w:sz w:val="24"/>
          <w:szCs w:val="24"/>
        </w:rPr>
      </w:pPr>
      <w:r w:rsidRPr="00114AD7">
        <w:rPr>
          <w:noProof/>
          <w:sz w:val="24"/>
          <w:szCs w:val="24"/>
        </w:rPr>
        <w:t>Barton, A., Hales, B., Waldbusser, G</w:t>
      </w:r>
      <w:r w:rsidR="0099342F">
        <w:rPr>
          <w:noProof/>
          <w:sz w:val="24"/>
          <w:szCs w:val="24"/>
        </w:rPr>
        <w:t>. G., Langdon, C., &amp; Feely, R.A</w:t>
      </w:r>
      <w:r w:rsidRPr="00114AD7">
        <w:rPr>
          <w:noProof/>
          <w:sz w:val="24"/>
          <w:szCs w:val="24"/>
        </w:rPr>
        <w:t xml:space="preserve">. (2012). The Pacific oyster, Crassostrea gigas, shows negative correlation to naturally elevated carbon dioxide levels: Implications for near-term ocean acidification effects. </w:t>
      </w:r>
      <w:r w:rsidRPr="00114AD7">
        <w:rPr>
          <w:i/>
          <w:iCs/>
          <w:noProof/>
          <w:sz w:val="24"/>
          <w:szCs w:val="24"/>
        </w:rPr>
        <w:t>Limnology and Oceanography</w:t>
      </w:r>
      <w:r w:rsidRPr="00114AD7">
        <w:rPr>
          <w:noProof/>
          <w:sz w:val="24"/>
          <w:szCs w:val="24"/>
        </w:rPr>
        <w:t xml:space="preserve">, </w:t>
      </w:r>
      <w:r w:rsidRPr="00114AD7">
        <w:rPr>
          <w:i/>
          <w:iCs/>
          <w:noProof/>
          <w:sz w:val="24"/>
          <w:szCs w:val="24"/>
        </w:rPr>
        <w:t>57</w:t>
      </w:r>
      <w:r w:rsidRPr="00114AD7">
        <w:rPr>
          <w:noProof/>
          <w:sz w:val="24"/>
          <w:szCs w:val="24"/>
        </w:rPr>
        <w:t>(3), 698–710. doi:10.4319/lo.2012.57.3.0698</w:t>
      </w:r>
    </w:p>
    <w:p w14:paraId="6C71347B" w14:textId="644F9252" w:rsidR="00590C70" w:rsidRPr="00114AD7" w:rsidRDefault="00590C70" w:rsidP="00590C70">
      <w:pPr>
        <w:pStyle w:val="NormalWeb"/>
        <w:ind w:left="480" w:hanging="480"/>
        <w:rPr>
          <w:noProof/>
          <w:sz w:val="24"/>
          <w:szCs w:val="24"/>
        </w:rPr>
      </w:pPr>
      <w:r w:rsidRPr="00114AD7">
        <w:rPr>
          <w:noProof/>
          <w:sz w:val="24"/>
          <w:szCs w:val="24"/>
        </w:rPr>
        <w:t>Crook, E. D., Cooper, H., Potts,</w:t>
      </w:r>
      <w:r w:rsidR="00785E11">
        <w:rPr>
          <w:noProof/>
          <w:sz w:val="24"/>
          <w:szCs w:val="24"/>
        </w:rPr>
        <w:t xml:space="preserve"> D. C., Lambert, T., &amp; Paytan, A</w:t>
      </w:r>
      <w:r w:rsidRPr="00114AD7">
        <w:rPr>
          <w:noProof/>
          <w:sz w:val="24"/>
          <w:szCs w:val="24"/>
        </w:rPr>
        <w:t xml:space="preserve">. (2013). Food availability and </w:t>
      </w:r>
      <w:r w:rsidRPr="00114AD7">
        <w:rPr>
          <w:i/>
          <w:iCs/>
          <w:noProof/>
          <w:sz w:val="24"/>
          <w:szCs w:val="24"/>
        </w:rPr>
        <w:t>p</w:t>
      </w:r>
      <w:r w:rsidRPr="00114AD7">
        <w:rPr>
          <w:noProof/>
          <w:sz w:val="24"/>
          <w:szCs w:val="24"/>
        </w:rPr>
        <w:t>CO</w:t>
      </w:r>
      <w:r w:rsidRPr="00114AD7">
        <w:rPr>
          <w:noProof/>
          <w:sz w:val="24"/>
          <w:szCs w:val="24"/>
          <w:vertAlign w:val="subscript"/>
        </w:rPr>
        <w:t>2</w:t>
      </w:r>
      <w:r w:rsidRPr="00114AD7">
        <w:rPr>
          <w:noProof/>
          <w:sz w:val="24"/>
          <w:szCs w:val="24"/>
        </w:rPr>
        <w:t xml:space="preserve"> impacts on planulation, juvenile survival, and calcification of the azooxanthellate scleractinian coral, </w:t>
      </w:r>
      <w:r w:rsidRPr="00114AD7">
        <w:rPr>
          <w:i/>
          <w:iCs/>
          <w:noProof/>
          <w:sz w:val="24"/>
          <w:szCs w:val="24"/>
        </w:rPr>
        <w:t>Balanophyllia elegans</w:t>
      </w:r>
      <w:r w:rsidRPr="00114AD7">
        <w:rPr>
          <w:noProof/>
          <w:sz w:val="24"/>
          <w:szCs w:val="24"/>
        </w:rPr>
        <w:t xml:space="preserve">. </w:t>
      </w:r>
      <w:r w:rsidRPr="00114AD7">
        <w:rPr>
          <w:i/>
          <w:iCs/>
          <w:noProof/>
          <w:sz w:val="24"/>
          <w:szCs w:val="24"/>
        </w:rPr>
        <w:t>Biogeosciences Discussions</w:t>
      </w:r>
      <w:r w:rsidRPr="00114AD7">
        <w:rPr>
          <w:noProof/>
          <w:sz w:val="24"/>
          <w:szCs w:val="24"/>
        </w:rPr>
        <w:t xml:space="preserve">, </w:t>
      </w:r>
      <w:r w:rsidRPr="00114AD7">
        <w:rPr>
          <w:i/>
          <w:iCs/>
          <w:noProof/>
          <w:sz w:val="24"/>
          <w:szCs w:val="24"/>
        </w:rPr>
        <w:t>10</w:t>
      </w:r>
      <w:r w:rsidRPr="00114AD7">
        <w:rPr>
          <w:noProof/>
          <w:sz w:val="24"/>
          <w:szCs w:val="24"/>
        </w:rPr>
        <w:t>(5), 7761–7783. doi:10.5194/bgd-10-7761-2013</w:t>
      </w:r>
    </w:p>
    <w:p w14:paraId="4DF748D8" w14:textId="77777777" w:rsidR="00590C70" w:rsidRPr="00114AD7" w:rsidRDefault="00590C70" w:rsidP="00590C70">
      <w:pPr>
        <w:pStyle w:val="NormalWeb"/>
        <w:ind w:left="480" w:hanging="480"/>
        <w:rPr>
          <w:noProof/>
          <w:sz w:val="24"/>
          <w:szCs w:val="24"/>
        </w:rPr>
      </w:pPr>
      <w:r w:rsidRPr="00114AD7">
        <w:rPr>
          <w:noProof/>
          <w:sz w:val="24"/>
          <w:szCs w:val="24"/>
        </w:rPr>
        <w:t xml:space="preserve">Dickinson, G. H., Matoo, O. B., Tourek, R. T., Sokolova, I. M., &amp; Beniash, E. (2013). Environmental salinity modulates the effects of elevated CO2 levels on juvenile hard-shell clams, Mercenaria mercenaria. </w:t>
      </w:r>
      <w:r w:rsidRPr="00114AD7">
        <w:rPr>
          <w:i/>
          <w:iCs/>
          <w:noProof/>
          <w:sz w:val="24"/>
          <w:szCs w:val="24"/>
        </w:rPr>
        <w:t>The Journal of experimental biology</w:t>
      </w:r>
      <w:r w:rsidRPr="00114AD7">
        <w:rPr>
          <w:noProof/>
          <w:sz w:val="24"/>
          <w:szCs w:val="24"/>
        </w:rPr>
        <w:t xml:space="preserve">, </w:t>
      </w:r>
      <w:r w:rsidRPr="00114AD7">
        <w:rPr>
          <w:i/>
          <w:iCs/>
          <w:noProof/>
          <w:sz w:val="24"/>
          <w:szCs w:val="24"/>
        </w:rPr>
        <w:t>216</w:t>
      </w:r>
      <w:r w:rsidRPr="00114AD7">
        <w:rPr>
          <w:noProof/>
          <w:sz w:val="24"/>
          <w:szCs w:val="24"/>
        </w:rPr>
        <w:t>(Pt 14), 2607–18. doi:10.1242/jeb.082909</w:t>
      </w:r>
    </w:p>
    <w:p w14:paraId="22B2718B" w14:textId="0CDA3B77" w:rsidR="00590C70" w:rsidRPr="00114AD7" w:rsidRDefault="00590C70" w:rsidP="00590C70">
      <w:pPr>
        <w:pStyle w:val="NormalWeb"/>
        <w:ind w:left="480" w:hanging="480"/>
        <w:rPr>
          <w:noProof/>
          <w:sz w:val="24"/>
          <w:szCs w:val="24"/>
        </w:rPr>
      </w:pPr>
      <w:r w:rsidRPr="00114AD7">
        <w:rPr>
          <w:noProof/>
          <w:sz w:val="24"/>
          <w:szCs w:val="24"/>
        </w:rPr>
        <w:t>Gaylord, B., Hill</w:t>
      </w:r>
      <w:r w:rsidR="00785E11">
        <w:rPr>
          <w:noProof/>
          <w:sz w:val="24"/>
          <w:szCs w:val="24"/>
        </w:rPr>
        <w:t>, T. M., Sanford, E., Lenz, E.A, Jacobs, L.A, Sato, K. N.,  Rusell, A.D., &amp;</w:t>
      </w:r>
      <w:r w:rsidRPr="00114AD7">
        <w:rPr>
          <w:noProof/>
          <w:sz w:val="24"/>
          <w:szCs w:val="24"/>
        </w:rPr>
        <w:t xml:space="preserve"> Hettinger, A. (2011). Functional impacts of ocean acidification in an ecologically critical foundation species. </w:t>
      </w:r>
      <w:r w:rsidRPr="00114AD7">
        <w:rPr>
          <w:i/>
          <w:iCs/>
          <w:noProof/>
          <w:sz w:val="24"/>
          <w:szCs w:val="24"/>
        </w:rPr>
        <w:t>The Journal of experimental biology</w:t>
      </w:r>
      <w:r w:rsidRPr="00114AD7">
        <w:rPr>
          <w:noProof/>
          <w:sz w:val="24"/>
          <w:szCs w:val="24"/>
        </w:rPr>
        <w:t xml:space="preserve">, </w:t>
      </w:r>
      <w:r w:rsidRPr="00114AD7">
        <w:rPr>
          <w:i/>
          <w:iCs/>
          <w:noProof/>
          <w:sz w:val="24"/>
          <w:szCs w:val="24"/>
        </w:rPr>
        <w:t>214</w:t>
      </w:r>
      <w:r w:rsidRPr="00114AD7">
        <w:rPr>
          <w:noProof/>
          <w:sz w:val="24"/>
          <w:szCs w:val="24"/>
        </w:rPr>
        <w:t>(Pt 15), 2586–94. doi:10.1242/jeb.055939</w:t>
      </w:r>
    </w:p>
    <w:p w14:paraId="29C646B4" w14:textId="72B586E6" w:rsidR="00E90BBA" w:rsidRPr="00114AD7" w:rsidRDefault="00E90BBA" w:rsidP="00590C70">
      <w:pPr>
        <w:pStyle w:val="NormalWeb"/>
        <w:ind w:left="480" w:hanging="480"/>
        <w:rPr>
          <w:noProof/>
          <w:sz w:val="24"/>
          <w:szCs w:val="24"/>
        </w:rPr>
      </w:pPr>
      <w:r w:rsidRPr="00114AD7">
        <w:rPr>
          <w:noProof/>
          <w:sz w:val="24"/>
          <w:szCs w:val="24"/>
        </w:rPr>
        <w:t xml:space="preserve">Hettinger, A., Sanford, E., Hill, T.M., Hosfelt, J.D., Russell, A.D., and Gaylord, B. (2013) The influence of food supply on the response of Olympia oyster larvae to ocean acidification. </w:t>
      </w:r>
      <w:r w:rsidRPr="00114AD7">
        <w:rPr>
          <w:i/>
          <w:noProof/>
          <w:sz w:val="24"/>
          <w:szCs w:val="24"/>
        </w:rPr>
        <w:t>Biogeosciences</w:t>
      </w:r>
      <w:r w:rsidRPr="00114AD7">
        <w:rPr>
          <w:noProof/>
          <w:sz w:val="24"/>
          <w:szCs w:val="24"/>
        </w:rPr>
        <w:t xml:space="preserve">, </w:t>
      </w:r>
      <w:r w:rsidRPr="00114AD7">
        <w:rPr>
          <w:i/>
          <w:noProof/>
          <w:sz w:val="24"/>
          <w:szCs w:val="24"/>
        </w:rPr>
        <w:t>10</w:t>
      </w:r>
      <w:r w:rsidRPr="00114AD7">
        <w:rPr>
          <w:noProof/>
          <w:sz w:val="24"/>
          <w:szCs w:val="24"/>
        </w:rPr>
        <w:t>, 6629-6638.</w:t>
      </w:r>
    </w:p>
    <w:p w14:paraId="32BAAAA1" w14:textId="77777777" w:rsidR="00590C70" w:rsidRPr="00114AD7" w:rsidRDefault="00590C70" w:rsidP="00590C70">
      <w:pPr>
        <w:pStyle w:val="NormalWeb"/>
        <w:ind w:left="480" w:hanging="480"/>
        <w:rPr>
          <w:noProof/>
          <w:sz w:val="24"/>
          <w:szCs w:val="24"/>
        </w:rPr>
      </w:pPr>
      <w:r w:rsidRPr="00114AD7">
        <w:rPr>
          <w:noProof/>
          <w:sz w:val="24"/>
          <w:szCs w:val="24"/>
        </w:rPr>
        <w:t xml:space="preserve">Kelly, M. W., Padilla-Gamiño, J. L., &amp; Hofmann, G. E. (2013). Natural variation and the capacity to adapt to ocean acidification in the keystone sea urchin Strongylocentrotus purpuratus. </w:t>
      </w:r>
      <w:r w:rsidRPr="00114AD7">
        <w:rPr>
          <w:i/>
          <w:iCs/>
          <w:noProof/>
          <w:sz w:val="24"/>
          <w:szCs w:val="24"/>
        </w:rPr>
        <w:t>Global change biology</w:t>
      </w:r>
      <w:r w:rsidRPr="00114AD7">
        <w:rPr>
          <w:noProof/>
          <w:sz w:val="24"/>
          <w:szCs w:val="24"/>
        </w:rPr>
        <w:t xml:space="preserve">, </w:t>
      </w:r>
      <w:r w:rsidRPr="00114AD7">
        <w:rPr>
          <w:i/>
          <w:iCs/>
          <w:noProof/>
          <w:sz w:val="24"/>
          <w:szCs w:val="24"/>
        </w:rPr>
        <w:t>19</w:t>
      </w:r>
      <w:r w:rsidRPr="00114AD7">
        <w:rPr>
          <w:noProof/>
          <w:sz w:val="24"/>
          <w:szCs w:val="24"/>
        </w:rPr>
        <w:t>(8), 2536–46. doi:10.1111/gcb.12251</w:t>
      </w:r>
    </w:p>
    <w:p w14:paraId="3E30A0C1" w14:textId="77777777" w:rsidR="00590C70" w:rsidRPr="00114AD7" w:rsidRDefault="00590C70" w:rsidP="00590C70">
      <w:pPr>
        <w:pStyle w:val="NormalWeb"/>
        <w:ind w:left="480" w:hanging="480"/>
        <w:rPr>
          <w:noProof/>
          <w:sz w:val="24"/>
          <w:szCs w:val="24"/>
        </w:rPr>
      </w:pPr>
      <w:r w:rsidRPr="00114AD7">
        <w:rPr>
          <w:noProof/>
          <w:sz w:val="24"/>
          <w:szCs w:val="24"/>
        </w:rPr>
        <w:t xml:space="preserve">Kelly, M. W., Sanford, E., &amp; Grosberg, R. K. (2012). Limited potential for adaptation to climate change in a broadly distributed marine crustacean. </w:t>
      </w:r>
      <w:r w:rsidRPr="00114AD7">
        <w:rPr>
          <w:i/>
          <w:iCs/>
          <w:noProof/>
          <w:sz w:val="24"/>
          <w:szCs w:val="24"/>
        </w:rPr>
        <w:t>Proceedings. Biological sciences / The Royal Society</w:t>
      </w:r>
      <w:r w:rsidRPr="00114AD7">
        <w:rPr>
          <w:noProof/>
          <w:sz w:val="24"/>
          <w:szCs w:val="24"/>
        </w:rPr>
        <w:t xml:space="preserve">, </w:t>
      </w:r>
      <w:r w:rsidRPr="00114AD7">
        <w:rPr>
          <w:i/>
          <w:iCs/>
          <w:noProof/>
          <w:sz w:val="24"/>
          <w:szCs w:val="24"/>
        </w:rPr>
        <w:t>279</w:t>
      </w:r>
      <w:r w:rsidRPr="00114AD7">
        <w:rPr>
          <w:noProof/>
          <w:sz w:val="24"/>
          <w:szCs w:val="24"/>
        </w:rPr>
        <w:t>(1727), 349–56. doi:10.1098/rspb.2011.0542</w:t>
      </w:r>
    </w:p>
    <w:p w14:paraId="6A93E3C7" w14:textId="35AD3F91" w:rsidR="00590C70" w:rsidRPr="00114AD7" w:rsidRDefault="00590C70" w:rsidP="00590C70">
      <w:pPr>
        <w:pStyle w:val="NormalWeb"/>
        <w:ind w:left="480" w:hanging="480"/>
        <w:rPr>
          <w:noProof/>
          <w:sz w:val="24"/>
          <w:szCs w:val="24"/>
        </w:rPr>
      </w:pPr>
      <w:r w:rsidRPr="00114AD7">
        <w:rPr>
          <w:noProof/>
          <w:sz w:val="24"/>
          <w:szCs w:val="24"/>
        </w:rPr>
        <w:t>Kuriha</w:t>
      </w:r>
      <w:r w:rsidR="00785E11">
        <w:rPr>
          <w:noProof/>
          <w:sz w:val="24"/>
          <w:szCs w:val="24"/>
        </w:rPr>
        <w:t>ra, H., Kato, S., &amp; Ishimatsu, A</w:t>
      </w:r>
      <w:r w:rsidRPr="00114AD7">
        <w:rPr>
          <w:noProof/>
          <w:sz w:val="24"/>
          <w:szCs w:val="24"/>
        </w:rPr>
        <w:t xml:space="preserve">. (2007). Effects of increased seawater pCO2 on early development of the oyster Crassostrea gigas. </w:t>
      </w:r>
      <w:r w:rsidRPr="00114AD7">
        <w:rPr>
          <w:i/>
          <w:iCs/>
          <w:noProof/>
          <w:sz w:val="24"/>
          <w:szCs w:val="24"/>
        </w:rPr>
        <w:t>Aquatic Biology</w:t>
      </w:r>
      <w:r w:rsidRPr="00114AD7">
        <w:rPr>
          <w:noProof/>
          <w:sz w:val="24"/>
          <w:szCs w:val="24"/>
        </w:rPr>
        <w:t xml:space="preserve">, </w:t>
      </w:r>
      <w:r w:rsidRPr="00114AD7">
        <w:rPr>
          <w:i/>
          <w:iCs/>
          <w:noProof/>
          <w:sz w:val="24"/>
          <w:szCs w:val="24"/>
        </w:rPr>
        <w:t>1</w:t>
      </w:r>
      <w:r w:rsidRPr="00114AD7">
        <w:rPr>
          <w:noProof/>
          <w:sz w:val="24"/>
          <w:szCs w:val="24"/>
        </w:rPr>
        <w:t>(1), 91–98. doi:10.3354/ab00009</w:t>
      </w:r>
    </w:p>
    <w:p w14:paraId="46963710" w14:textId="222C856C" w:rsidR="00590C70" w:rsidRPr="00114AD7" w:rsidRDefault="00590C70" w:rsidP="00590C70">
      <w:pPr>
        <w:pStyle w:val="NormalWeb"/>
        <w:ind w:left="480" w:hanging="480"/>
        <w:rPr>
          <w:noProof/>
          <w:sz w:val="24"/>
          <w:szCs w:val="24"/>
        </w:rPr>
      </w:pPr>
      <w:r w:rsidRPr="00114AD7">
        <w:rPr>
          <w:noProof/>
          <w:sz w:val="24"/>
          <w:szCs w:val="24"/>
        </w:rPr>
        <w:t>Melzner, F., Stange, P., Trübenbach, K., Thomsen, J., Casties, I</w:t>
      </w:r>
      <w:r w:rsidR="00785E11">
        <w:rPr>
          <w:noProof/>
          <w:sz w:val="24"/>
          <w:szCs w:val="24"/>
        </w:rPr>
        <w:t>., Panknin, U., Gorb, S.N., &amp; Gutowska, M.A</w:t>
      </w:r>
      <w:r w:rsidRPr="00114AD7">
        <w:rPr>
          <w:noProof/>
          <w:sz w:val="24"/>
          <w:szCs w:val="24"/>
        </w:rPr>
        <w:t xml:space="preserve">. (2011). Food supply and seawater pCO2 impact calcification and internal shell dissolution in the blue mussel Mytilus edulis. </w:t>
      </w:r>
      <w:r w:rsidRPr="00114AD7">
        <w:rPr>
          <w:i/>
          <w:iCs/>
          <w:noProof/>
          <w:sz w:val="24"/>
          <w:szCs w:val="24"/>
        </w:rPr>
        <w:t>PloS one</w:t>
      </w:r>
      <w:r w:rsidRPr="00114AD7">
        <w:rPr>
          <w:noProof/>
          <w:sz w:val="24"/>
          <w:szCs w:val="24"/>
        </w:rPr>
        <w:t xml:space="preserve">, </w:t>
      </w:r>
      <w:r w:rsidRPr="00114AD7">
        <w:rPr>
          <w:i/>
          <w:iCs/>
          <w:noProof/>
          <w:sz w:val="24"/>
          <w:szCs w:val="24"/>
        </w:rPr>
        <w:t>6</w:t>
      </w:r>
      <w:r w:rsidRPr="00114AD7">
        <w:rPr>
          <w:noProof/>
          <w:sz w:val="24"/>
          <w:szCs w:val="24"/>
        </w:rPr>
        <w:t>(9), e24223. doi:10.1371/journal.pone.0024223</w:t>
      </w:r>
    </w:p>
    <w:p w14:paraId="0BCB3EA0" w14:textId="2C1861A3" w:rsidR="00590C70" w:rsidRPr="00114AD7" w:rsidRDefault="00785E11" w:rsidP="00590C70">
      <w:pPr>
        <w:pStyle w:val="NormalWeb"/>
        <w:ind w:left="480" w:hanging="480"/>
        <w:rPr>
          <w:noProof/>
          <w:sz w:val="24"/>
          <w:szCs w:val="24"/>
        </w:rPr>
      </w:pPr>
      <w:r>
        <w:rPr>
          <w:noProof/>
          <w:sz w:val="24"/>
          <w:szCs w:val="24"/>
        </w:rPr>
        <w:t>Miller, A.</w:t>
      </w:r>
      <w:r w:rsidR="00590C70" w:rsidRPr="00114AD7">
        <w:rPr>
          <w:noProof/>
          <w:sz w:val="24"/>
          <w:szCs w:val="24"/>
        </w:rPr>
        <w:t xml:space="preserve">W., Reynolds, A. C., Sobrino, C., &amp; Riedel, G. F. (2009). Shellfish face uncertain future in high CO2 world: influence of acidification on oyster larvae calcification and growth in estuaries. </w:t>
      </w:r>
      <w:r w:rsidR="00590C70" w:rsidRPr="00114AD7">
        <w:rPr>
          <w:i/>
          <w:iCs/>
          <w:noProof/>
          <w:sz w:val="24"/>
          <w:szCs w:val="24"/>
        </w:rPr>
        <w:t>PloS one</w:t>
      </w:r>
      <w:r w:rsidR="00590C70" w:rsidRPr="00114AD7">
        <w:rPr>
          <w:noProof/>
          <w:sz w:val="24"/>
          <w:szCs w:val="24"/>
        </w:rPr>
        <w:t xml:space="preserve">, </w:t>
      </w:r>
      <w:r w:rsidR="00590C70" w:rsidRPr="00114AD7">
        <w:rPr>
          <w:i/>
          <w:iCs/>
          <w:noProof/>
          <w:sz w:val="24"/>
          <w:szCs w:val="24"/>
        </w:rPr>
        <w:t>4</w:t>
      </w:r>
      <w:r w:rsidR="00590C70" w:rsidRPr="00114AD7">
        <w:rPr>
          <w:noProof/>
          <w:sz w:val="24"/>
          <w:szCs w:val="24"/>
        </w:rPr>
        <w:t>(5), e5661. doi:10.1371/journal.pone.0005661</w:t>
      </w:r>
    </w:p>
    <w:p w14:paraId="0F2E437D" w14:textId="7A2A89B1" w:rsidR="00590C70" w:rsidRPr="00114AD7" w:rsidRDefault="00590C70" w:rsidP="00590C70">
      <w:pPr>
        <w:pStyle w:val="NormalWeb"/>
        <w:ind w:left="480" w:hanging="480"/>
        <w:rPr>
          <w:noProof/>
          <w:sz w:val="24"/>
          <w:szCs w:val="24"/>
        </w:rPr>
      </w:pPr>
      <w:r w:rsidRPr="00114AD7">
        <w:rPr>
          <w:noProof/>
          <w:sz w:val="24"/>
          <w:szCs w:val="24"/>
        </w:rPr>
        <w:t>Parker, L. M., Ross, P</w:t>
      </w:r>
      <w:r w:rsidR="00785E11">
        <w:rPr>
          <w:noProof/>
          <w:sz w:val="24"/>
          <w:szCs w:val="24"/>
        </w:rPr>
        <w:t>. M., &amp; O’Connor, W.A</w:t>
      </w:r>
      <w:r w:rsidRPr="00114AD7">
        <w:rPr>
          <w:noProof/>
          <w:sz w:val="24"/>
          <w:szCs w:val="24"/>
        </w:rPr>
        <w:t xml:space="preserve">. (2010). Comparing the effect of elevated pCO2 and temperature on the fertilization and early development of two species of oysters. </w:t>
      </w:r>
      <w:r w:rsidRPr="00114AD7">
        <w:rPr>
          <w:i/>
          <w:iCs/>
          <w:noProof/>
          <w:sz w:val="24"/>
          <w:szCs w:val="24"/>
        </w:rPr>
        <w:t>Marine Biology</w:t>
      </w:r>
      <w:r w:rsidRPr="00114AD7">
        <w:rPr>
          <w:noProof/>
          <w:sz w:val="24"/>
          <w:szCs w:val="24"/>
        </w:rPr>
        <w:t xml:space="preserve">, </w:t>
      </w:r>
      <w:r w:rsidRPr="00114AD7">
        <w:rPr>
          <w:i/>
          <w:iCs/>
          <w:noProof/>
          <w:sz w:val="24"/>
          <w:szCs w:val="24"/>
        </w:rPr>
        <w:t>157</w:t>
      </w:r>
      <w:r w:rsidRPr="00114AD7">
        <w:rPr>
          <w:noProof/>
          <w:sz w:val="24"/>
          <w:szCs w:val="24"/>
        </w:rPr>
        <w:t>(11), 2435–2452. doi:10.1007/s00227-010-1508-3</w:t>
      </w:r>
    </w:p>
    <w:p w14:paraId="7CDFD132" w14:textId="446A22EB" w:rsidR="00590C70" w:rsidRPr="00114AD7" w:rsidRDefault="00590C70" w:rsidP="00590C70">
      <w:pPr>
        <w:pStyle w:val="NormalWeb"/>
        <w:ind w:left="480" w:hanging="480"/>
        <w:rPr>
          <w:noProof/>
          <w:sz w:val="24"/>
          <w:szCs w:val="24"/>
        </w:rPr>
      </w:pPr>
      <w:r w:rsidRPr="00114AD7">
        <w:rPr>
          <w:noProof/>
          <w:sz w:val="24"/>
          <w:szCs w:val="24"/>
        </w:rPr>
        <w:t>Parker, L. M., Ross, P. M., O’Conn</w:t>
      </w:r>
      <w:r w:rsidR="00785E11">
        <w:rPr>
          <w:noProof/>
          <w:sz w:val="24"/>
          <w:szCs w:val="24"/>
        </w:rPr>
        <w:t>or, W.A., Borysko, L., Raftos, D.A</w:t>
      </w:r>
      <w:r w:rsidRPr="00114AD7">
        <w:rPr>
          <w:noProof/>
          <w:sz w:val="24"/>
          <w:szCs w:val="24"/>
        </w:rPr>
        <w:t xml:space="preserve">., &amp; Pörtner, H.-O. (2012). Adult exposure influences offspring response to ocean acidification in oysters. </w:t>
      </w:r>
      <w:r w:rsidRPr="00114AD7">
        <w:rPr>
          <w:i/>
          <w:iCs/>
          <w:noProof/>
          <w:sz w:val="24"/>
          <w:szCs w:val="24"/>
        </w:rPr>
        <w:t>Global Change Biology</w:t>
      </w:r>
      <w:r w:rsidRPr="00114AD7">
        <w:rPr>
          <w:noProof/>
          <w:sz w:val="24"/>
          <w:szCs w:val="24"/>
        </w:rPr>
        <w:t xml:space="preserve">, </w:t>
      </w:r>
      <w:r w:rsidRPr="00114AD7">
        <w:rPr>
          <w:i/>
          <w:iCs/>
          <w:noProof/>
          <w:sz w:val="24"/>
          <w:szCs w:val="24"/>
        </w:rPr>
        <w:t>18</w:t>
      </w:r>
      <w:r w:rsidRPr="00114AD7">
        <w:rPr>
          <w:noProof/>
          <w:sz w:val="24"/>
          <w:szCs w:val="24"/>
        </w:rPr>
        <w:t>(1), 82–92. doi:10.1111/j.1365-2486.2011.02520.x</w:t>
      </w:r>
    </w:p>
    <w:p w14:paraId="3169739C" w14:textId="76B9DF41" w:rsidR="00590C70" w:rsidRPr="00114AD7" w:rsidRDefault="00590C70" w:rsidP="00590C70">
      <w:pPr>
        <w:pStyle w:val="NormalWeb"/>
        <w:ind w:left="480" w:hanging="480"/>
        <w:rPr>
          <w:noProof/>
          <w:sz w:val="24"/>
          <w:szCs w:val="24"/>
        </w:rPr>
      </w:pPr>
      <w:r w:rsidRPr="00114AD7">
        <w:rPr>
          <w:noProof/>
          <w:sz w:val="24"/>
          <w:szCs w:val="24"/>
        </w:rPr>
        <w:t>Pespeni, M. H., Sanford, E., Gaylord, B., Hill, T. M.,</w:t>
      </w:r>
      <w:r w:rsidR="00785E11">
        <w:rPr>
          <w:noProof/>
          <w:sz w:val="24"/>
          <w:szCs w:val="24"/>
        </w:rPr>
        <w:t xml:space="preserve"> Hosfelt, J. D., Jaris, H. K., LaVigne, M., Lenz, E.A., Russell, A.D., Young, M.K., &amp;</w:t>
      </w:r>
      <w:r w:rsidRPr="00114AD7">
        <w:rPr>
          <w:noProof/>
          <w:sz w:val="24"/>
          <w:szCs w:val="24"/>
        </w:rPr>
        <w:t xml:space="preserve"> Palumbi, S. R. (2013). Evolutionary change during experimental ocean acidification. </w:t>
      </w:r>
      <w:r w:rsidRPr="00114AD7">
        <w:rPr>
          <w:i/>
          <w:iCs/>
          <w:noProof/>
          <w:sz w:val="24"/>
          <w:szCs w:val="24"/>
        </w:rPr>
        <w:t>Proceedings of the National Academy of Sciences of the United States of America</w:t>
      </w:r>
      <w:r w:rsidRPr="00114AD7">
        <w:rPr>
          <w:noProof/>
          <w:sz w:val="24"/>
          <w:szCs w:val="24"/>
        </w:rPr>
        <w:t xml:space="preserve">, </w:t>
      </w:r>
      <w:r w:rsidRPr="00114AD7">
        <w:rPr>
          <w:i/>
          <w:iCs/>
          <w:noProof/>
          <w:sz w:val="24"/>
          <w:szCs w:val="24"/>
        </w:rPr>
        <w:t>110</w:t>
      </w:r>
      <w:r w:rsidRPr="00114AD7">
        <w:rPr>
          <w:noProof/>
          <w:sz w:val="24"/>
          <w:szCs w:val="24"/>
        </w:rPr>
        <w:t>(17), 6937–42. doi:10.1073/pnas.1220673110</w:t>
      </w:r>
    </w:p>
    <w:p w14:paraId="3584F8AC" w14:textId="77777777" w:rsidR="00590C70" w:rsidRPr="00114AD7" w:rsidRDefault="00590C70" w:rsidP="00590C70">
      <w:pPr>
        <w:pStyle w:val="NormalWeb"/>
        <w:ind w:left="480" w:hanging="480"/>
        <w:rPr>
          <w:noProof/>
          <w:sz w:val="24"/>
          <w:szCs w:val="24"/>
        </w:rPr>
      </w:pPr>
      <w:r w:rsidRPr="00114AD7">
        <w:rPr>
          <w:noProof/>
          <w:sz w:val="24"/>
          <w:szCs w:val="24"/>
        </w:rPr>
        <w:t xml:space="preserve">Sanders, M. B., Bean, T. P., Hutchinson, T. H., &amp; Le Quesne, W. J. F. (2013). Juvenile king scallop, Pecten maximus, is potentially tolerant to low levels of ocean acidification when food is unrestricted. </w:t>
      </w:r>
      <w:r w:rsidRPr="00114AD7">
        <w:rPr>
          <w:i/>
          <w:iCs/>
          <w:noProof/>
          <w:sz w:val="24"/>
          <w:szCs w:val="24"/>
        </w:rPr>
        <w:t>PloS one</w:t>
      </w:r>
      <w:r w:rsidRPr="00114AD7">
        <w:rPr>
          <w:noProof/>
          <w:sz w:val="24"/>
          <w:szCs w:val="24"/>
        </w:rPr>
        <w:t xml:space="preserve">, </w:t>
      </w:r>
      <w:r w:rsidRPr="00114AD7">
        <w:rPr>
          <w:i/>
          <w:iCs/>
          <w:noProof/>
          <w:sz w:val="24"/>
          <w:szCs w:val="24"/>
        </w:rPr>
        <w:t>8</w:t>
      </w:r>
      <w:r w:rsidRPr="00114AD7">
        <w:rPr>
          <w:noProof/>
          <w:sz w:val="24"/>
          <w:szCs w:val="24"/>
        </w:rPr>
        <w:t>(9), e74118. doi:10.1371/journal.pone.0074118</w:t>
      </w:r>
    </w:p>
    <w:p w14:paraId="49449F86" w14:textId="77777777" w:rsidR="00590C70" w:rsidRPr="00114AD7" w:rsidRDefault="00590C70" w:rsidP="00590C70">
      <w:pPr>
        <w:pStyle w:val="NormalWeb"/>
        <w:ind w:left="480" w:hanging="480"/>
        <w:rPr>
          <w:noProof/>
          <w:sz w:val="24"/>
          <w:szCs w:val="24"/>
        </w:rPr>
      </w:pPr>
      <w:r w:rsidRPr="00114AD7">
        <w:rPr>
          <w:noProof/>
          <w:sz w:val="24"/>
          <w:szCs w:val="24"/>
        </w:rPr>
        <w:t xml:space="preserve">Thomsen, J., Casties, I., Pansch, C., Körtzinger, A., &amp; Melzner, F. (2013). Food availability outweighs ocean acidification effects in juvenile Mytilus edulis: laboratory and field experiments. </w:t>
      </w:r>
      <w:r w:rsidRPr="00114AD7">
        <w:rPr>
          <w:i/>
          <w:iCs/>
          <w:noProof/>
          <w:sz w:val="24"/>
          <w:szCs w:val="24"/>
        </w:rPr>
        <w:t>Global change biology</w:t>
      </w:r>
      <w:r w:rsidRPr="00114AD7">
        <w:rPr>
          <w:noProof/>
          <w:sz w:val="24"/>
          <w:szCs w:val="24"/>
        </w:rPr>
        <w:t xml:space="preserve">, </w:t>
      </w:r>
      <w:r w:rsidRPr="00114AD7">
        <w:rPr>
          <w:i/>
          <w:iCs/>
          <w:noProof/>
          <w:sz w:val="24"/>
          <w:szCs w:val="24"/>
        </w:rPr>
        <w:t>19</w:t>
      </w:r>
      <w:r w:rsidRPr="00114AD7">
        <w:rPr>
          <w:noProof/>
          <w:sz w:val="24"/>
          <w:szCs w:val="24"/>
        </w:rPr>
        <w:t>(4), 1017–27. doi:10.1111/gcb.12109</w:t>
      </w:r>
    </w:p>
    <w:p w14:paraId="68A8A4A1" w14:textId="77777777" w:rsidR="00590C70" w:rsidRPr="00114AD7" w:rsidRDefault="00590C70" w:rsidP="00590C70">
      <w:pPr>
        <w:pStyle w:val="NormalWeb"/>
        <w:ind w:left="480" w:hanging="480"/>
        <w:rPr>
          <w:noProof/>
          <w:sz w:val="24"/>
          <w:szCs w:val="24"/>
        </w:rPr>
      </w:pPr>
      <w:r w:rsidRPr="00114AD7">
        <w:rPr>
          <w:noProof/>
          <w:sz w:val="24"/>
          <w:szCs w:val="24"/>
        </w:rPr>
        <w:t xml:space="preserve">Thomsen, J., &amp; Melzner, F. (2010). Moderate seawater acidification does not elicit long-term metabolic depression in the blue mussel Mytilus edulis. </w:t>
      </w:r>
      <w:r w:rsidRPr="00114AD7">
        <w:rPr>
          <w:i/>
          <w:iCs/>
          <w:noProof/>
          <w:sz w:val="24"/>
          <w:szCs w:val="24"/>
        </w:rPr>
        <w:t>Marine Biology</w:t>
      </w:r>
      <w:r w:rsidRPr="00114AD7">
        <w:rPr>
          <w:noProof/>
          <w:sz w:val="24"/>
          <w:szCs w:val="24"/>
        </w:rPr>
        <w:t xml:space="preserve">, </w:t>
      </w:r>
      <w:r w:rsidRPr="00114AD7">
        <w:rPr>
          <w:i/>
          <w:iCs/>
          <w:noProof/>
          <w:sz w:val="24"/>
          <w:szCs w:val="24"/>
        </w:rPr>
        <w:t>157</w:t>
      </w:r>
      <w:r w:rsidRPr="00114AD7">
        <w:rPr>
          <w:noProof/>
          <w:sz w:val="24"/>
          <w:szCs w:val="24"/>
        </w:rPr>
        <w:t>(12), 2667–2676. doi:10.1007/s00227-010-1527-0</w:t>
      </w:r>
    </w:p>
    <w:p w14:paraId="28C0A33C" w14:textId="77777777" w:rsidR="00590C70" w:rsidRPr="00114AD7" w:rsidRDefault="00590C70" w:rsidP="00590C70">
      <w:pPr>
        <w:pStyle w:val="NormalWeb"/>
        <w:ind w:left="480" w:hanging="480"/>
        <w:rPr>
          <w:noProof/>
          <w:sz w:val="24"/>
          <w:szCs w:val="24"/>
        </w:rPr>
      </w:pPr>
      <w:r w:rsidRPr="00114AD7">
        <w:rPr>
          <w:noProof/>
          <w:sz w:val="24"/>
          <w:szCs w:val="24"/>
        </w:rPr>
        <w:t xml:space="preserve">Timmins-Schiffman, E., O’Donnell, M. J., Friedman, C. S., &amp; Roberts, S. B. (2012). Elevated pCO2 causes developmental delay in early larval Pacific oysters, Crassostrea gigas. </w:t>
      </w:r>
      <w:r w:rsidRPr="00114AD7">
        <w:rPr>
          <w:i/>
          <w:iCs/>
          <w:noProof/>
          <w:sz w:val="24"/>
          <w:szCs w:val="24"/>
        </w:rPr>
        <w:t>Marine Biology</w:t>
      </w:r>
      <w:r w:rsidRPr="00114AD7">
        <w:rPr>
          <w:noProof/>
          <w:sz w:val="24"/>
          <w:szCs w:val="24"/>
        </w:rPr>
        <w:t xml:space="preserve">, </w:t>
      </w:r>
      <w:r w:rsidRPr="00114AD7">
        <w:rPr>
          <w:i/>
          <w:iCs/>
          <w:noProof/>
          <w:sz w:val="24"/>
          <w:szCs w:val="24"/>
        </w:rPr>
        <w:t>160</w:t>
      </w:r>
      <w:r w:rsidRPr="00114AD7">
        <w:rPr>
          <w:noProof/>
          <w:sz w:val="24"/>
          <w:szCs w:val="24"/>
        </w:rPr>
        <w:t>(8), 1973–1982. doi:10.1007/s00227-012-2055-x</w:t>
      </w:r>
    </w:p>
    <w:p w14:paraId="0142FA1C" w14:textId="77777777" w:rsidR="00590C70" w:rsidRPr="00C21AC4" w:rsidRDefault="00590C70" w:rsidP="00590C70">
      <w:pPr>
        <w:pStyle w:val="NormalWeb"/>
        <w:ind w:left="480" w:hanging="480"/>
        <w:rPr>
          <w:rFonts w:ascii="Cambria" w:hAnsi="Cambria"/>
          <w:noProof/>
          <w:sz w:val="24"/>
        </w:rPr>
      </w:pPr>
      <w:r w:rsidRPr="00114AD7">
        <w:rPr>
          <w:noProof/>
          <w:sz w:val="24"/>
          <w:szCs w:val="24"/>
        </w:rPr>
        <w:t xml:space="preserve">Yu, P. C., Matson, P. G., Martz, T. R., &amp; Hofmann, G. E. (2011). The ocean acidification seascape and its relationship to the performance of calcifying marine invertebrates: Laboratory experiments on the development of urchin larvae framed by environmentally-relevant pCO2/pH. </w:t>
      </w:r>
      <w:r w:rsidRPr="00114AD7">
        <w:rPr>
          <w:i/>
          <w:iCs/>
          <w:noProof/>
          <w:sz w:val="24"/>
          <w:szCs w:val="24"/>
        </w:rPr>
        <w:t>Journal of Experimental Marine Biology and Ecology</w:t>
      </w:r>
      <w:r w:rsidRPr="00114AD7">
        <w:rPr>
          <w:noProof/>
          <w:sz w:val="24"/>
          <w:szCs w:val="24"/>
        </w:rPr>
        <w:t xml:space="preserve">, </w:t>
      </w:r>
      <w:r w:rsidRPr="00114AD7">
        <w:rPr>
          <w:i/>
          <w:iCs/>
          <w:noProof/>
          <w:sz w:val="24"/>
          <w:szCs w:val="24"/>
        </w:rPr>
        <w:t>400</w:t>
      </w:r>
      <w:r w:rsidRPr="00114AD7">
        <w:rPr>
          <w:noProof/>
          <w:sz w:val="24"/>
          <w:szCs w:val="24"/>
        </w:rPr>
        <w:t>(1-2), 288–295. doi:10.1016/j.jembe.2011.02.016</w:t>
      </w:r>
    </w:p>
    <w:p w14:paraId="59A16293" w14:textId="0181B853" w:rsidR="00590C70" w:rsidRDefault="00590C70" w:rsidP="00590C70">
      <w:r>
        <w:fldChar w:fldCharType="end"/>
      </w:r>
    </w:p>
    <w:p w14:paraId="29C699E2" w14:textId="77777777" w:rsidR="00C85C10" w:rsidRDefault="00C85C10" w:rsidP="00C85C10"/>
    <w:p w14:paraId="430A4C44" w14:textId="77777777" w:rsidR="00C85C10" w:rsidRDefault="00C85C10" w:rsidP="00C85C10"/>
    <w:p w14:paraId="7D1CAC62" w14:textId="77777777" w:rsidR="00C85C10" w:rsidRDefault="00C85C10" w:rsidP="00C85C10"/>
    <w:p w14:paraId="500E2A14" w14:textId="77777777" w:rsidR="00C85C10" w:rsidRDefault="00C85C10" w:rsidP="00C85C10"/>
    <w:p w14:paraId="4A71327B" w14:textId="77777777" w:rsidR="00C85C10" w:rsidRDefault="00C85C10" w:rsidP="00C85C10"/>
    <w:p w14:paraId="73AA8421" w14:textId="77777777" w:rsidR="00C85C10" w:rsidRDefault="00C85C10" w:rsidP="00C85C10"/>
    <w:p w14:paraId="6F9BD1F5" w14:textId="77777777" w:rsidR="00C85C10" w:rsidRDefault="00C85C10" w:rsidP="00C85C10"/>
    <w:p w14:paraId="47D29A77" w14:textId="77777777" w:rsidR="00C85C10" w:rsidRDefault="00C85C10" w:rsidP="00C85C10"/>
    <w:p w14:paraId="757CA7CF" w14:textId="77777777" w:rsidR="00C85C10" w:rsidRDefault="00C85C10" w:rsidP="00C85C10"/>
    <w:p w14:paraId="4A3EB592" w14:textId="77777777" w:rsidR="00C85C10" w:rsidRDefault="00C85C10" w:rsidP="00C85C10"/>
    <w:p w14:paraId="62C8882A" w14:textId="77777777" w:rsidR="00C85C10" w:rsidRDefault="00C85C10" w:rsidP="00C85C10"/>
    <w:p w14:paraId="421CA333" w14:textId="77777777" w:rsidR="00C85C10" w:rsidRDefault="00C85C10" w:rsidP="00C85C10"/>
    <w:p w14:paraId="5FADC39A" w14:textId="77777777" w:rsidR="00C85C10" w:rsidRDefault="00C85C10" w:rsidP="00C85C10"/>
    <w:p w14:paraId="2835D040" w14:textId="77777777" w:rsidR="00C85C10" w:rsidRDefault="00C85C10" w:rsidP="00C85C10"/>
    <w:p w14:paraId="3382F0E8" w14:textId="77777777" w:rsidR="00C85C10" w:rsidRDefault="00C85C10" w:rsidP="00C85C10"/>
    <w:p w14:paraId="4160BCF6" w14:textId="77777777" w:rsidR="00C85C10" w:rsidRDefault="00C85C10" w:rsidP="00C85C10"/>
    <w:p w14:paraId="373E0A8D" w14:textId="77777777" w:rsidR="00C85C10" w:rsidRDefault="00C85C10" w:rsidP="00C85C10"/>
    <w:p w14:paraId="62278D40" w14:textId="77777777" w:rsidR="00C85C10" w:rsidRDefault="00C85C10" w:rsidP="00C85C10"/>
    <w:p w14:paraId="2262BBC6" w14:textId="77777777" w:rsidR="00C85C10" w:rsidRDefault="00C85C10" w:rsidP="00C85C10"/>
    <w:p w14:paraId="40CA6782" w14:textId="77777777" w:rsidR="00C85C10" w:rsidRDefault="00C85C10" w:rsidP="00C85C10"/>
    <w:p w14:paraId="2FF1B221" w14:textId="77777777" w:rsidR="00C85C10" w:rsidRDefault="00C85C10" w:rsidP="00C85C10"/>
    <w:p w14:paraId="664B75E6" w14:textId="77777777" w:rsidR="00C85C10" w:rsidRDefault="00C85C10" w:rsidP="00C85C10"/>
    <w:p w14:paraId="77F6F78E" w14:textId="77777777" w:rsidR="00C85C10" w:rsidRDefault="00C85C10" w:rsidP="00C85C10"/>
    <w:p w14:paraId="5883FE37" w14:textId="77777777" w:rsidR="00C85C10" w:rsidRDefault="00C85C10" w:rsidP="00C85C10"/>
    <w:p w14:paraId="5ABC7918" w14:textId="77777777" w:rsidR="00C85C10" w:rsidRDefault="00C85C10" w:rsidP="00C85C10"/>
    <w:p w14:paraId="0B7E63E4" w14:textId="77777777" w:rsidR="00C85C10" w:rsidRDefault="00C85C10" w:rsidP="00C85C10"/>
    <w:p w14:paraId="0ACAD0F6" w14:textId="77777777" w:rsidR="00C85C10" w:rsidRDefault="00C85C10" w:rsidP="00C85C10"/>
    <w:p w14:paraId="21BF2A83" w14:textId="77777777" w:rsidR="00C85C10" w:rsidRDefault="00C85C10" w:rsidP="00C85C10"/>
    <w:p w14:paraId="3DCE9F75" w14:textId="77777777" w:rsidR="00C85C10" w:rsidRDefault="00C85C10" w:rsidP="00C85C10"/>
    <w:p w14:paraId="3AC82A5D" w14:textId="77777777" w:rsidR="00C85C10" w:rsidRDefault="00C85C10" w:rsidP="00C85C10"/>
    <w:p w14:paraId="2C0E09FA" w14:textId="77777777" w:rsidR="00C85C10" w:rsidRDefault="00C85C10" w:rsidP="00C85C10"/>
    <w:p w14:paraId="31A18DA5" w14:textId="77777777" w:rsidR="00C85C10" w:rsidRDefault="00C85C10" w:rsidP="00C85C10"/>
    <w:p w14:paraId="1DC3B3E8" w14:textId="77777777" w:rsidR="00C85C10" w:rsidRDefault="00C85C10" w:rsidP="00C85C10"/>
    <w:p w14:paraId="77D99143" w14:textId="77777777" w:rsidR="00C85C10" w:rsidRDefault="00C85C10" w:rsidP="00C85C10"/>
    <w:p w14:paraId="70A6AA34" w14:textId="77777777" w:rsidR="00C85C10" w:rsidRDefault="00C85C10" w:rsidP="00C85C10"/>
    <w:p w14:paraId="44DC7843" w14:textId="77777777" w:rsidR="00C85C10" w:rsidRDefault="00C85C10" w:rsidP="00C85C10"/>
    <w:p w14:paraId="58FE876B" w14:textId="77777777" w:rsidR="00C85C10" w:rsidRDefault="00C85C10" w:rsidP="00C85C10"/>
    <w:p w14:paraId="1D67383C" w14:textId="77777777" w:rsidR="00114AD7" w:rsidRDefault="00114AD7" w:rsidP="00114AD7"/>
    <w:p w14:paraId="1BE52752" w14:textId="77777777" w:rsidR="00114AD7" w:rsidRDefault="00114AD7" w:rsidP="00114AD7"/>
    <w:p w14:paraId="4122403E" w14:textId="77777777" w:rsidR="00114AD7" w:rsidRDefault="00114AD7" w:rsidP="00114AD7"/>
    <w:p w14:paraId="5A0760FD" w14:textId="77777777" w:rsidR="00114AD7" w:rsidRDefault="00114AD7" w:rsidP="00114AD7"/>
    <w:p w14:paraId="6820BB46" w14:textId="77777777" w:rsidR="00114AD7" w:rsidRDefault="00114AD7" w:rsidP="00114AD7"/>
    <w:p w14:paraId="4ABD65D0" w14:textId="77777777" w:rsidR="00114AD7" w:rsidRDefault="00114AD7" w:rsidP="00114AD7"/>
    <w:p w14:paraId="5EF7C04A" w14:textId="77777777" w:rsidR="00114AD7" w:rsidRDefault="00114AD7" w:rsidP="00114AD7"/>
    <w:p w14:paraId="6198CE04" w14:textId="77777777" w:rsidR="00114AD7" w:rsidRDefault="00114AD7" w:rsidP="00114AD7"/>
    <w:p w14:paraId="45639B90" w14:textId="3406B57B" w:rsidR="00C02D9B" w:rsidRDefault="00295E93" w:rsidP="00114AD7">
      <w:pPr>
        <w:pStyle w:val="Heading1"/>
      </w:pPr>
      <w:bookmarkStart w:id="89" w:name="_Toc257278831"/>
      <w:r>
        <w:t>Appendix A</w:t>
      </w:r>
      <w:r w:rsidR="00C02D9B">
        <w:t>:  Exploration of enzymatic activity of Pacific oyster antioxidant proteins in response to ocean acidification</w:t>
      </w:r>
      <w:bookmarkEnd w:id="89"/>
    </w:p>
    <w:p w14:paraId="5F5FD5DF" w14:textId="77777777" w:rsidR="00A16689" w:rsidRDefault="00A16689" w:rsidP="00A16689"/>
    <w:p w14:paraId="7A9CBC1A" w14:textId="530CFE60" w:rsidR="00A16689" w:rsidRPr="00114AD7" w:rsidRDefault="00A16689" w:rsidP="00A16689">
      <w:pPr>
        <w:rPr>
          <w:rFonts w:ascii="Times" w:hAnsi="Times"/>
        </w:rPr>
      </w:pPr>
      <w:r w:rsidRPr="00114AD7">
        <w:rPr>
          <w:rFonts w:ascii="Times" w:hAnsi="Times"/>
        </w:rPr>
        <w:t>Work accomplished in collabo</w:t>
      </w:r>
      <w:r w:rsidR="001C08F9" w:rsidRPr="00114AD7">
        <w:rPr>
          <w:rFonts w:ascii="Times" w:hAnsi="Times"/>
        </w:rPr>
        <w:t>ration with Charlotte Corporeau</w:t>
      </w:r>
      <w:r w:rsidRPr="00114AD7">
        <w:rPr>
          <w:rFonts w:ascii="Times" w:hAnsi="Times"/>
        </w:rPr>
        <w:t>, Catherine Seguineau,</w:t>
      </w:r>
      <w:r w:rsidR="004D3638" w:rsidRPr="00114AD7">
        <w:rPr>
          <w:rFonts w:ascii="Times" w:hAnsi="Times"/>
        </w:rPr>
        <w:t xml:space="preserve"> Pierre Boudry,</w:t>
      </w:r>
      <w:r w:rsidRPr="00114AD7">
        <w:rPr>
          <w:rFonts w:ascii="Times" w:hAnsi="Times"/>
        </w:rPr>
        <w:t xml:space="preserve"> and Claudi</w:t>
      </w:r>
      <w:r w:rsidR="001010D9" w:rsidRPr="00114AD7">
        <w:rPr>
          <w:rFonts w:ascii="Times" w:hAnsi="Times"/>
        </w:rPr>
        <w:t>e</w:t>
      </w:r>
      <w:r w:rsidRPr="00114AD7">
        <w:rPr>
          <w:rFonts w:ascii="Times" w:hAnsi="Times"/>
        </w:rPr>
        <w:t xml:space="preserve"> Quéré at the Institut </w:t>
      </w:r>
      <w:r w:rsidRPr="00114AD7">
        <w:rPr>
          <w:rFonts w:ascii="Times" w:hAnsi="Times"/>
          <w:lang w:val="fr-FR"/>
        </w:rPr>
        <w:t>français de recherche pour l’exploitation de la mer</w:t>
      </w:r>
      <w:r w:rsidRPr="00114AD7">
        <w:rPr>
          <w:rFonts w:ascii="Times" w:hAnsi="Times"/>
        </w:rPr>
        <w:t xml:space="preserve"> in Plouzané, France</w:t>
      </w:r>
    </w:p>
    <w:p w14:paraId="3EF3772A" w14:textId="77777777" w:rsidR="00C02D9B" w:rsidRDefault="00C02D9B" w:rsidP="00C02D9B">
      <w:pPr>
        <w:pStyle w:val="Heading2"/>
      </w:pPr>
      <w:bookmarkStart w:id="90" w:name="_Toc257278832"/>
      <w:r>
        <w:t>Introduction</w:t>
      </w:r>
      <w:bookmarkEnd w:id="90"/>
    </w:p>
    <w:p w14:paraId="6EB05A74" w14:textId="34BB7234" w:rsidR="00A16689" w:rsidRDefault="00A16689" w:rsidP="00A16689">
      <w:r>
        <w:tab/>
      </w:r>
    </w:p>
    <w:p w14:paraId="6D3C0479" w14:textId="0B112A32" w:rsidR="00C661F6" w:rsidRPr="00114AD7" w:rsidRDefault="00A16689" w:rsidP="001010D9">
      <w:pPr>
        <w:spacing w:line="360" w:lineRule="auto"/>
        <w:rPr>
          <w:rFonts w:ascii="Times" w:hAnsi="Times"/>
        </w:rPr>
      </w:pPr>
      <w:r>
        <w:tab/>
      </w:r>
      <w:r w:rsidRPr="00114AD7">
        <w:rPr>
          <w:rFonts w:ascii="Times" w:hAnsi="Times"/>
        </w:rPr>
        <w:t xml:space="preserve">Oxidative stress has been implicated </w:t>
      </w:r>
      <w:r w:rsidR="00581C49" w:rsidRPr="00114AD7">
        <w:rPr>
          <w:rFonts w:ascii="Times" w:hAnsi="Times"/>
        </w:rPr>
        <w:t>as a consequence of environmental stress in</w:t>
      </w:r>
      <w:r w:rsidRPr="00114AD7">
        <w:rPr>
          <w:rFonts w:ascii="Times" w:hAnsi="Times"/>
        </w:rPr>
        <w:t xml:space="preserve"> a</w:t>
      </w:r>
      <w:r w:rsidR="00581C49" w:rsidRPr="00114AD7">
        <w:rPr>
          <w:rFonts w:ascii="Times" w:hAnsi="Times"/>
        </w:rPr>
        <w:t>quatic organisms</w:t>
      </w:r>
      <w:r w:rsidRPr="00114AD7">
        <w:rPr>
          <w:rFonts w:ascii="Times" w:hAnsi="Times"/>
        </w:rPr>
        <w:t xml:space="preserve">, but </w:t>
      </w:r>
      <w:r w:rsidR="00581C49" w:rsidRPr="00114AD7">
        <w:rPr>
          <w:rFonts w:ascii="Times" w:hAnsi="Times"/>
        </w:rPr>
        <w:t>how it occurs in</w:t>
      </w:r>
      <w:r w:rsidRPr="00114AD7">
        <w:rPr>
          <w:rFonts w:ascii="Times" w:hAnsi="Times"/>
        </w:rPr>
        <w:t xml:space="preserve"> response to ocean acidification has yet to be fully characterized.  Previous studies into the effects of ocean acidification on invertebrates have uncovered evidence for the up-regulation of </w:t>
      </w:r>
      <w:r w:rsidR="001010D9" w:rsidRPr="00114AD7">
        <w:rPr>
          <w:rFonts w:ascii="Times" w:hAnsi="Times"/>
        </w:rPr>
        <w:t>the</w:t>
      </w:r>
      <w:r w:rsidRPr="00114AD7">
        <w:rPr>
          <w:rFonts w:ascii="Times" w:hAnsi="Times"/>
        </w:rPr>
        <w:t xml:space="preserve"> antioxidant response (Matoo et al.</w:t>
      </w:r>
      <w:r w:rsidR="00C661F6" w:rsidRPr="00114AD7">
        <w:rPr>
          <w:rFonts w:ascii="Times" w:hAnsi="Times"/>
        </w:rPr>
        <w:t xml:space="preserve"> 2013; Tomanek et al. 2011; Kaniewska et al. 2012; Clark et al. 2013).  Oxidative stress arises from the over-production of reactive oxygen species (ROS), which are known to damage cells and can lead to apoptosis.  Levels of ROS are kept in check by antioxid</w:t>
      </w:r>
      <w:r w:rsidR="00581C49" w:rsidRPr="00114AD7">
        <w:rPr>
          <w:rFonts w:ascii="Times" w:hAnsi="Times"/>
        </w:rPr>
        <w:t>ant enzymes, such as glutathione</w:t>
      </w:r>
      <w:r w:rsidR="00C661F6" w:rsidRPr="00114AD7">
        <w:rPr>
          <w:rFonts w:ascii="Times" w:hAnsi="Times"/>
        </w:rPr>
        <w:t xml:space="preserve"> S-transferase (GST), superoxide dimutase (SOD), catalase, and others.   </w:t>
      </w:r>
      <w:r w:rsidR="001010D9" w:rsidRPr="00114AD7">
        <w:rPr>
          <w:rFonts w:ascii="Times" w:hAnsi="Times"/>
        </w:rPr>
        <w:t>Oyster b</w:t>
      </w:r>
      <w:r w:rsidR="00C661F6" w:rsidRPr="00114AD7">
        <w:rPr>
          <w:rFonts w:ascii="Times" w:hAnsi="Times"/>
        </w:rPr>
        <w:t>asal ROS production occurs</w:t>
      </w:r>
      <w:r w:rsidR="001010D9" w:rsidRPr="00114AD7">
        <w:rPr>
          <w:rFonts w:ascii="Times" w:hAnsi="Times"/>
        </w:rPr>
        <w:t xml:space="preserve"> in the mitochondria</w:t>
      </w:r>
      <w:r w:rsidR="00C661F6" w:rsidRPr="00114AD7">
        <w:rPr>
          <w:rFonts w:ascii="Times" w:hAnsi="Times"/>
        </w:rPr>
        <w:t xml:space="preserve"> during routine oxidative metabolism</w:t>
      </w:r>
      <w:r w:rsidR="001010D9" w:rsidRPr="00114AD7">
        <w:rPr>
          <w:rFonts w:ascii="Times" w:hAnsi="Times"/>
        </w:rPr>
        <w:t xml:space="preserve"> (Donaghy et al. 2012)</w:t>
      </w:r>
      <w:r w:rsidR="00C661F6" w:rsidRPr="00114AD7">
        <w:rPr>
          <w:rFonts w:ascii="Times" w:hAnsi="Times"/>
        </w:rPr>
        <w:t xml:space="preserve"> and marine invertebrates produce lower levels of ROS than vertebrates, but sedentary invertebrates are less able to regulate ROS levels (reviewed in Abele et al. 2007).   </w:t>
      </w:r>
      <w:r w:rsidR="001010D9" w:rsidRPr="00114AD7">
        <w:rPr>
          <w:rFonts w:ascii="Times" w:hAnsi="Times"/>
        </w:rPr>
        <w:t xml:space="preserve">During environmental stress, the amount of ROS produced and the antioxidant enzyme activity to neutralize ROS become unbalanced.  </w:t>
      </w:r>
      <w:r w:rsidR="00C661F6" w:rsidRPr="00114AD7">
        <w:rPr>
          <w:rFonts w:ascii="Times" w:hAnsi="Times"/>
        </w:rPr>
        <w:t>ROS may be produced as a direct result of the stressor or indirectly from elevated cellular metabolism in response to stress (Mohanty et al. 2000).</w:t>
      </w:r>
    </w:p>
    <w:p w14:paraId="5CA12D4E" w14:textId="35E27A18" w:rsidR="00C661F6" w:rsidRPr="00114AD7" w:rsidRDefault="00C661F6" w:rsidP="001010D9">
      <w:pPr>
        <w:spacing w:line="360" w:lineRule="auto"/>
        <w:rPr>
          <w:rFonts w:ascii="Times" w:hAnsi="Times"/>
        </w:rPr>
      </w:pPr>
      <w:r w:rsidRPr="00114AD7">
        <w:rPr>
          <w:rFonts w:ascii="Times" w:hAnsi="Times"/>
        </w:rPr>
        <w:tab/>
      </w:r>
      <w:r w:rsidR="002F5FFC" w:rsidRPr="00114AD7">
        <w:rPr>
          <w:rFonts w:ascii="Times" w:hAnsi="Times"/>
        </w:rPr>
        <w:t>Glutathione S-transferase and superoxide dismutase are important components of the antioxidant response across taxonomic groups.  GST is known to have both antioxidant (Daniel 1993; Berhane et al. 1994; Nakamura et al. 2000; Leaver and George 1996</w:t>
      </w:r>
      <w:r w:rsidR="00EF7B60" w:rsidRPr="00114AD7">
        <w:rPr>
          <w:rFonts w:ascii="Times" w:hAnsi="Times"/>
        </w:rPr>
        <w:t>; Sharma et al. 2004</w:t>
      </w:r>
      <w:r w:rsidR="002F5FFC" w:rsidRPr="00114AD7">
        <w:rPr>
          <w:rFonts w:ascii="Times" w:hAnsi="Times"/>
        </w:rPr>
        <w:t>) and detoxification roles, however its exact function is not elucidated in most studies and its various isoforms likely accomplish both functions.</w:t>
      </w:r>
      <w:r w:rsidR="005C1814" w:rsidRPr="00114AD7">
        <w:rPr>
          <w:rFonts w:ascii="Times" w:hAnsi="Times"/>
        </w:rPr>
        <w:t xml:space="preserve">  SOD acts solely in an antioxidant role and is responsive in marine invertebrates to pathogens (Gonzelez et al. 2005; Gagnaire et al. 2007), hydrocarbons (Boutet et al. 2004a), heavy metal (Jo et al. 2008; Wu et al. 2011), and herbicides (Malécot et al. 2013).</w:t>
      </w:r>
    </w:p>
    <w:p w14:paraId="4A0DB1A6" w14:textId="6988C9DE" w:rsidR="005C1814" w:rsidRPr="005C1814" w:rsidRDefault="005C1814" w:rsidP="001010D9">
      <w:pPr>
        <w:spacing w:line="360" w:lineRule="auto"/>
      </w:pPr>
      <w:r w:rsidRPr="00114AD7">
        <w:rPr>
          <w:rFonts w:ascii="Times" w:hAnsi="Times"/>
        </w:rPr>
        <w:tab/>
        <w:t xml:space="preserve">In this study, we investigated the activity of two antioxidant enzymes (GST and SOD) in the oyster, </w:t>
      </w:r>
      <w:r w:rsidRPr="00114AD7">
        <w:rPr>
          <w:rFonts w:ascii="Times" w:hAnsi="Times"/>
          <w:i/>
        </w:rPr>
        <w:t>Crassostrea gigas</w:t>
      </w:r>
      <w:r w:rsidRPr="00114AD7">
        <w:rPr>
          <w:rFonts w:ascii="Times" w:hAnsi="Times"/>
        </w:rPr>
        <w:t xml:space="preserve">, after exposure to elevated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(1000 and 2800 μatm).</w:t>
      </w:r>
    </w:p>
    <w:p w14:paraId="1D2F6019" w14:textId="77777777" w:rsidR="00C02D9B" w:rsidRDefault="00C02D9B" w:rsidP="00C02D9B">
      <w:pPr>
        <w:pStyle w:val="Heading2"/>
      </w:pPr>
      <w:bookmarkStart w:id="91" w:name="_Toc257278833"/>
      <w:r>
        <w:t>Methods</w:t>
      </w:r>
      <w:bookmarkEnd w:id="91"/>
    </w:p>
    <w:p w14:paraId="3FB534F2" w14:textId="77777777" w:rsidR="005C1814" w:rsidRPr="005C1814" w:rsidRDefault="005C1814" w:rsidP="005C1814"/>
    <w:p w14:paraId="6DD44480" w14:textId="77777777" w:rsidR="00F451C2" w:rsidRDefault="00F451C2" w:rsidP="00BC5F99">
      <w:pPr>
        <w:pStyle w:val="Heading3"/>
        <w:rPr>
          <w:lang w:eastAsia="en-US"/>
        </w:rPr>
      </w:pPr>
      <w:bookmarkStart w:id="92" w:name="_Toc257278834"/>
      <w:r w:rsidRPr="00F451C2">
        <w:rPr>
          <w:lang w:eastAsia="en-US"/>
        </w:rPr>
        <w:t>Carbonate Chemistry</w:t>
      </w:r>
      <w:bookmarkEnd w:id="92"/>
    </w:p>
    <w:p w14:paraId="34EC944A" w14:textId="77777777" w:rsidR="00BC5F99" w:rsidRPr="00BC5F99" w:rsidRDefault="00BC5F99" w:rsidP="00BC5F99"/>
    <w:p w14:paraId="0354E1E2" w14:textId="77777777" w:rsidR="00F451C2" w:rsidRPr="00114AD7" w:rsidRDefault="00F451C2" w:rsidP="00F451C2">
      <w:pPr>
        <w:spacing w:line="360" w:lineRule="auto"/>
        <w:ind w:firstLine="720"/>
        <w:rPr>
          <w:rFonts w:ascii="Times" w:hAnsi="Times" w:cs="Times New Roman"/>
          <w:lang w:eastAsia="en-US"/>
        </w:rPr>
      </w:pPr>
      <w:r w:rsidRPr="00114AD7">
        <w:rPr>
          <w:rFonts w:ascii="Times" w:hAnsi="Times" w:cs="Arial"/>
          <w:color w:val="000000"/>
          <w:lang w:eastAsia="en-US"/>
        </w:rPr>
        <w:t>This experiment was conducted at the Friday Harbor Labs Ocean Acidification Environmental Laboratory, Friday Harbor, Washington, USA where oysters were exposed to pCO</w:t>
      </w:r>
      <w:r w:rsidRPr="00114AD7">
        <w:rPr>
          <w:rFonts w:ascii="Times" w:hAnsi="Times" w:cs="Arial"/>
          <w:color w:val="000000"/>
          <w:vertAlign w:val="subscript"/>
          <w:lang w:eastAsia="en-US"/>
        </w:rPr>
        <w:t xml:space="preserve">2 </w:t>
      </w:r>
      <w:r w:rsidRPr="00114AD7">
        <w:rPr>
          <w:rFonts w:ascii="Times" w:hAnsi="Times" w:cs="Arial"/>
          <w:color w:val="000000"/>
          <w:lang w:eastAsia="en-US"/>
        </w:rPr>
        <w:t>values of 400 µatm, 1000 µatm, or 2800 µatm.  The system and control of water chemistry has been previously described in detail (O’Donnell et al., 2013; Timmins-Schiffman et al., 2013a). Briefly, incoming water was filtered (0.2 µm) and stripped of CO</w:t>
      </w:r>
      <w:r w:rsidRPr="00114AD7">
        <w:rPr>
          <w:rFonts w:ascii="Times" w:hAnsi="Times" w:cs="Arial"/>
          <w:color w:val="000000"/>
          <w:vertAlign w:val="subscript"/>
          <w:lang w:eastAsia="en-US"/>
        </w:rPr>
        <w:t>2</w:t>
      </w:r>
      <w:r w:rsidRPr="00114AD7">
        <w:rPr>
          <w:rFonts w:ascii="Times" w:hAnsi="Times" w:cs="Arial"/>
          <w:color w:val="000000"/>
          <w:lang w:eastAsia="en-US"/>
        </w:rPr>
        <w:t>. As the water flowed into the different treatment tanks, CO</w:t>
      </w:r>
      <w:r w:rsidRPr="00114AD7">
        <w:rPr>
          <w:rFonts w:ascii="Times" w:hAnsi="Times" w:cs="Arial"/>
          <w:color w:val="000000"/>
          <w:vertAlign w:val="subscript"/>
          <w:lang w:eastAsia="en-US"/>
        </w:rPr>
        <w:t>2</w:t>
      </w:r>
      <w:r w:rsidRPr="00114AD7">
        <w:rPr>
          <w:rFonts w:ascii="Times" w:hAnsi="Times" w:cs="Arial"/>
          <w:color w:val="000000"/>
          <w:lang w:eastAsia="en-US"/>
        </w:rPr>
        <w:t>-free air and CO</w:t>
      </w:r>
      <w:r w:rsidRPr="00114AD7">
        <w:rPr>
          <w:rFonts w:ascii="Times" w:hAnsi="Times" w:cs="Arial"/>
          <w:color w:val="000000"/>
          <w:vertAlign w:val="subscript"/>
          <w:lang w:eastAsia="en-US"/>
        </w:rPr>
        <w:t>2</w:t>
      </w:r>
      <w:r w:rsidRPr="00114AD7">
        <w:rPr>
          <w:rFonts w:ascii="Times" w:hAnsi="Times" w:cs="Arial"/>
          <w:color w:val="000000"/>
          <w:lang w:eastAsia="en-US"/>
        </w:rPr>
        <w:t xml:space="preserve"> were added back to reach set points that were continuously monitored by a DuraFET III pH probe (Honeywell, Morristown, NJ, USA).  From the treatment tanks, water flow into the eight replicate chambers for each of the three treatment levels was 57.5 mL/min.  For this experiment, set points were calculated for 13°C and estimated total alkalinity (A</w:t>
      </w:r>
      <w:r w:rsidRPr="00114AD7">
        <w:rPr>
          <w:rFonts w:ascii="Times" w:hAnsi="Times" w:cs="Arial"/>
          <w:color w:val="000000"/>
          <w:vertAlign w:val="subscript"/>
          <w:lang w:eastAsia="en-US"/>
        </w:rPr>
        <w:t>T</w:t>
      </w:r>
      <w:r w:rsidRPr="00114AD7">
        <w:rPr>
          <w:rFonts w:ascii="Times" w:hAnsi="Times" w:cs="Arial"/>
          <w:color w:val="000000"/>
          <w:lang w:eastAsia="en-US"/>
        </w:rPr>
        <w:t>) of 2100 µmol/kg for pCO</w:t>
      </w:r>
      <w:r w:rsidRPr="00114AD7">
        <w:rPr>
          <w:rFonts w:ascii="Times" w:hAnsi="Times" w:cs="Arial"/>
          <w:color w:val="000000"/>
          <w:vertAlign w:val="subscript"/>
          <w:lang w:eastAsia="en-US"/>
        </w:rPr>
        <w:t xml:space="preserve">2 </w:t>
      </w:r>
      <w:r w:rsidRPr="00114AD7">
        <w:rPr>
          <w:rFonts w:ascii="Times" w:hAnsi="Times" w:cs="Arial"/>
          <w:color w:val="000000"/>
          <w:lang w:eastAsia="en-US"/>
        </w:rPr>
        <w:t>values of 400 µatm (pH 8.03), 1000 µatm (pH 7.67), and 2800 µatm (pH 7.24).</w:t>
      </w:r>
    </w:p>
    <w:p w14:paraId="6A6A467C" w14:textId="264F6C01" w:rsidR="00F451C2" w:rsidRPr="00F451C2" w:rsidRDefault="00F451C2" w:rsidP="00F451C2">
      <w:pPr>
        <w:spacing w:line="360" w:lineRule="auto"/>
        <w:rPr>
          <w:rFonts w:ascii="Times" w:eastAsia="Times New Roman" w:hAnsi="Times" w:cs="Times New Roman"/>
          <w:lang w:eastAsia="en-US"/>
        </w:rPr>
      </w:pPr>
    </w:p>
    <w:p w14:paraId="0A1EE369" w14:textId="77777777" w:rsidR="00F451C2" w:rsidRPr="00F451C2" w:rsidRDefault="00F451C2" w:rsidP="00BC5F99">
      <w:pPr>
        <w:pStyle w:val="Heading3"/>
        <w:rPr>
          <w:rFonts w:cs="Times New Roman"/>
          <w:lang w:eastAsia="en-US"/>
        </w:rPr>
      </w:pPr>
      <w:bookmarkStart w:id="93" w:name="_Toc257278835"/>
      <w:r w:rsidRPr="00F451C2">
        <w:rPr>
          <w:lang w:eastAsia="en-US"/>
        </w:rPr>
        <w:t>Oysters</w:t>
      </w:r>
      <w:bookmarkEnd w:id="93"/>
    </w:p>
    <w:p w14:paraId="5E06EDE3"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Adult oysters (average shell length ± s.d. = 51± 5 mm, average width = 38 ± 6 mm) collected from Oyster Bay, Washington were maintained in 3.5 L chambers (n = 6 oysters per container) and acclimated for two weeks (T = 13°C, pH = 8).  The oysters originated from the same spawning event in March 2011 from approximately 25 broodstock oysters.  Oysters were fed 120,000 cells per mL per day of Shellfish Diet 1800 (Reed Mariculture, Campbell, CA, USA).  Containers were cleaned every other day with freshwater to prevent fouling.</w:t>
      </w:r>
    </w:p>
    <w:p w14:paraId="4AE106E3" w14:textId="0D8007E0" w:rsidR="00F451C2" w:rsidRPr="00F451C2" w:rsidRDefault="00F451C2" w:rsidP="00F451C2">
      <w:pPr>
        <w:spacing w:line="360" w:lineRule="auto"/>
        <w:rPr>
          <w:rFonts w:ascii="Times" w:hAnsi="Times" w:cs="Times New Roman"/>
          <w:lang w:eastAsia="en-US"/>
        </w:rPr>
      </w:pPr>
      <w:r w:rsidRPr="00F451C2">
        <w:rPr>
          <w:rFonts w:ascii="Times" w:hAnsi="Times" w:cs="Arial"/>
          <w:i/>
          <w:iCs/>
          <w:color w:val="000000"/>
          <w:lang w:eastAsia="en-US"/>
        </w:rPr>
        <w:tab/>
      </w:r>
      <w:r w:rsidRPr="00F451C2">
        <w:rPr>
          <w:rFonts w:ascii="Times" w:hAnsi="Times" w:cs="Arial"/>
          <w:color w:val="000000"/>
          <w:lang w:eastAsia="en-US"/>
        </w:rPr>
        <w:t>At t</w:t>
      </w:r>
      <w:r>
        <w:rPr>
          <w:rFonts w:ascii="Times" w:hAnsi="Times" w:cs="Arial"/>
          <w:color w:val="000000"/>
          <w:lang w:eastAsia="en-US"/>
        </w:rPr>
        <w:t xml:space="preserve">he end of 29 days, oysters </w:t>
      </w:r>
      <w:r w:rsidRPr="00F451C2">
        <w:rPr>
          <w:rFonts w:ascii="Times" w:hAnsi="Times" w:cs="Arial"/>
          <w:color w:val="000000"/>
          <w:lang w:eastAsia="en-US"/>
        </w:rPr>
        <w:t>were shucked and gill tissue was dissected and immediately flash frozen in liquid nitrogen.  Before protein extraction, tissues were ground to a powder in liquid nitrogen using a mortar and pestle.</w:t>
      </w:r>
    </w:p>
    <w:p w14:paraId="35D2221C" w14:textId="4FEF2A85" w:rsidR="00F451C2" w:rsidRPr="00F451C2" w:rsidRDefault="00F451C2" w:rsidP="00F451C2">
      <w:pPr>
        <w:spacing w:line="360" w:lineRule="auto"/>
        <w:rPr>
          <w:rFonts w:ascii="Times" w:eastAsia="Times New Roman" w:hAnsi="Times" w:cs="Times New Roman"/>
          <w:lang w:eastAsia="en-US"/>
        </w:rPr>
      </w:pPr>
    </w:p>
    <w:p w14:paraId="5973585F" w14:textId="77777777" w:rsidR="00F451C2" w:rsidRDefault="00F451C2" w:rsidP="00BC5F99">
      <w:pPr>
        <w:pStyle w:val="Heading3"/>
        <w:rPr>
          <w:lang w:eastAsia="en-US"/>
        </w:rPr>
      </w:pPr>
      <w:bookmarkStart w:id="94" w:name="_Toc257278836"/>
      <w:r w:rsidRPr="00F451C2">
        <w:rPr>
          <w:lang w:eastAsia="en-US"/>
        </w:rPr>
        <w:t>Glutathione S-transferase: protein extraction and enzymatic assay</w:t>
      </w:r>
      <w:bookmarkEnd w:id="94"/>
    </w:p>
    <w:p w14:paraId="730197B9" w14:textId="77777777" w:rsidR="00BC5F99" w:rsidRPr="00BC5F99" w:rsidRDefault="00BC5F99" w:rsidP="00BC5F99"/>
    <w:p w14:paraId="39122A4D" w14:textId="5CD16312"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For the glutathione S-transferase</w:t>
      </w:r>
      <w:r w:rsidR="00305757">
        <w:rPr>
          <w:rFonts w:ascii="Times" w:hAnsi="Times" w:cs="Arial"/>
          <w:color w:val="000000"/>
          <w:lang w:eastAsia="en-US"/>
        </w:rPr>
        <w:t xml:space="preserve"> (GST)</w:t>
      </w:r>
      <w:r w:rsidRPr="00F451C2">
        <w:rPr>
          <w:rFonts w:ascii="Times" w:hAnsi="Times" w:cs="Arial"/>
          <w:color w:val="000000"/>
          <w:lang w:eastAsia="en-US"/>
        </w:rPr>
        <w:t xml:space="preserve"> assay, </w:t>
      </w:r>
      <w:r w:rsidR="001C08F9">
        <w:rPr>
          <w:rFonts w:ascii="Times" w:hAnsi="Times" w:cs="Arial"/>
          <w:color w:val="000000"/>
          <w:lang w:eastAsia="en-US"/>
        </w:rPr>
        <w:t xml:space="preserve">protein from </w:t>
      </w:r>
      <w:r w:rsidRPr="00F451C2">
        <w:rPr>
          <w:rFonts w:ascii="Times" w:hAnsi="Times" w:cs="Arial"/>
          <w:color w:val="000000"/>
          <w:lang w:eastAsia="en-US"/>
        </w:rPr>
        <w:t>oysters gill tissue was extracted using Triton® X-100 (Bio Rad, Hercules, CA) extraction buffer for 4 oysters from the 400 µatm treatment, 4 from the 1000 µatm,</w:t>
      </w:r>
      <w:r>
        <w:rPr>
          <w:rFonts w:ascii="Times" w:hAnsi="Times" w:cs="Arial"/>
          <w:color w:val="000000"/>
          <w:lang w:eastAsia="en-US"/>
        </w:rPr>
        <w:t xml:space="preserve"> and 2 from 2800 µatm</w:t>
      </w:r>
      <w:r w:rsidRPr="00F451C2">
        <w:rPr>
          <w:rFonts w:ascii="Times" w:hAnsi="Times" w:cs="Arial"/>
          <w:color w:val="000000"/>
          <w:lang w:eastAsia="en-US"/>
        </w:rPr>
        <w:t>. Whole tissue samples (18.7-98.4 mg) were homogenized on ice using an Ultra turrax (Kinematica, Luzern, Switzerland) in 300 µl of Triton buffer (10 mM PBS, 1</w:t>
      </w:r>
      <w:r w:rsidR="001C08F9">
        <w:rPr>
          <w:rFonts w:ascii="Times" w:hAnsi="Times" w:cs="Arial"/>
          <w:color w:val="000000"/>
          <w:lang w:eastAsia="en-US"/>
        </w:rPr>
        <w:t xml:space="preserve"> mM EDTA, and 50 µl of Triton® </w:t>
      </w:r>
      <w:r w:rsidRPr="00F451C2">
        <w:rPr>
          <w:rFonts w:ascii="Times" w:hAnsi="Times" w:cs="Arial"/>
          <w:color w:val="000000"/>
          <w:lang w:eastAsia="en-US"/>
        </w:rPr>
        <w:t>X-100).  An additional 100 µl of the Triton buffer was used to rinse remaining tissue homogenate off of the Ultraturrax.  The Ultraturrax was rinsed in two separate baths of deionized water between samples.  The homogenate was incubated for 40 minutes at room temperature and then spun at 3000xg for 1 hour at 4°C.  The upper layer (excluding the pellet) was pipetted into a clean tube and then centrifuged again at 10,000xg for 45 minutes at 4°C.  The final supernatant (excluding the upper lipid layer) was transferred to a clean tube and stored at -80°C until analysis.  </w:t>
      </w:r>
    </w:p>
    <w:p w14:paraId="08ED9422" w14:textId="232CF385"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GST enzyme activity was measured using the Glutath</w:t>
      </w:r>
      <w:r w:rsidR="00BC5F99">
        <w:rPr>
          <w:rFonts w:ascii="Times" w:hAnsi="Times" w:cs="Arial"/>
          <w:color w:val="000000"/>
          <w:lang w:eastAsia="en-US"/>
        </w:rPr>
        <w:t>ione S-Transferase Assay Kit (Si</w:t>
      </w:r>
      <w:r w:rsidRPr="00F451C2">
        <w:rPr>
          <w:rFonts w:ascii="Times" w:hAnsi="Times" w:cs="Arial"/>
          <w:color w:val="000000"/>
          <w:lang w:eastAsia="en-US"/>
        </w:rPr>
        <w:t>gma, St Louis, Missouri, USA) following the manufacturer’s instructions for the 96-well plate.  Twenty microliters of undiluted protein extraction was used for the assay.  All samples were measured in triplicate.  The assay was read on a Synergy HT spectrophotometer at 340 nm (BioTek, Winooski, VT, USA) with Gen5 v. 2.03 software (BioTek Instruments Inc.) with readings every 50 seconds over a 20 minute period.</w:t>
      </w:r>
    </w:p>
    <w:p w14:paraId="1D588CC2" w14:textId="253F0716" w:rsidR="00F451C2" w:rsidRPr="00F451C2" w:rsidRDefault="00F451C2" w:rsidP="00F451C2">
      <w:pPr>
        <w:spacing w:line="360" w:lineRule="auto"/>
        <w:rPr>
          <w:rFonts w:ascii="Times" w:eastAsia="Times New Roman" w:hAnsi="Times" w:cs="Times New Roman"/>
          <w:lang w:eastAsia="en-US"/>
        </w:rPr>
      </w:pPr>
    </w:p>
    <w:p w14:paraId="691CAEFD" w14:textId="77777777" w:rsidR="00F451C2" w:rsidRDefault="00F451C2" w:rsidP="00BC5F99">
      <w:pPr>
        <w:pStyle w:val="Heading3"/>
        <w:rPr>
          <w:lang w:eastAsia="en-US"/>
        </w:rPr>
      </w:pPr>
      <w:bookmarkStart w:id="95" w:name="_Toc257278837"/>
      <w:r w:rsidRPr="00F451C2">
        <w:rPr>
          <w:lang w:eastAsia="en-US"/>
        </w:rPr>
        <w:t>Superoxide dismutase: protein extraction and enzymatic assay</w:t>
      </w:r>
      <w:bookmarkEnd w:id="95"/>
    </w:p>
    <w:p w14:paraId="0E86EC9E" w14:textId="77777777" w:rsidR="00BC5F99" w:rsidRPr="00BC5F99" w:rsidRDefault="00BC5F99" w:rsidP="00BC5F99"/>
    <w:p w14:paraId="0C7208D0" w14:textId="7AA15221"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Protein extractions were executed similarly to the GST assay for superoxide dismutase </w:t>
      </w:r>
      <w:r w:rsidR="00305757">
        <w:rPr>
          <w:rFonts w:ascii="Times" w:hAnsi="Times" w:cs="Arial"/>
          <w:color w:val="000000"/>
          <w:lang w:eastAsia="en-US"/>
        </w:rPr>
        <w:t xml:space="preserve">(SOD) </w:t>
      </w:r>
      <w:r w:rsidRPr="00F451C2">
        <w:rPr>
          <w:rFonts w:ascii="Times" w:hAnsi="Times" w:cs="Arial"/>
          <w:color w:val="000000"/>
          <w:lang w:eastAsia="en-US"/>
        </w:rPr>
        <w:t>activity except a house-made lysis buffer was used instead of Triton buffer.  </w:t>
      </w:r>
      <w:r w:rsidR="00305757">
        <w:rPr>
          <w:rFonts w:ascii="Times" w:hAnsi="Times" w:cs="Arial"/>
          <w:color w:val="000000"/>
          <w:lang w:eastAsia="en-US"/>
        </w:rPr>
        <w:t>Total p</w:t>
      </w:r>
      <w:r w:rsidRPr="00F451C2">
        <w:rPr>
          <w:rFonts w:ascii="Times" w:hAnsi="Times" w:cs="Arial"/>
          <w:color w:val="000000"/>
          <w:lang w:eastAsia="en-US"/>
        </w:rPr>
        <w:t>rotein was extracted from gill tissue (23.3-96.8 mg) from 4 oysters from the 400 µatm treatment, 4 from 100</w:t>
      </w:r>
      <w:r w:rsidR="00305757">
        <w:rPr>
          <w:rFonts w:ascii="Times" w:hAnsi="Times" w:cs="Arial"/>
          <w:color w:val="000000"/>
          <w:lang w:eastAsia="en-US"/>
        </w:rPr>
        <w:t>0 µatm, and 6 from 2800 µatm</w:t>
      </w:r>
      <w:r w:rsidRPr="00F451C2">
        <w:rPr>
          <w:rFonts w:ascii="Times" w:hAnsi="Times" w:cs="Arial"/>
          <w:color w:val="000000"/>
          <w:lang w:eastAsia="en-US"/>
        </w:rPr>
        <w:t xml:space="preserve">.  The </w:t>
      </w:r>
      <w:r w:rsidR="00305757">
        <w:rPr>
          <w:rFonts w:ascii="Times" w:hAnsi="Times" w:cs="Arial"/>
          <w:color w:val="000000"/>
          <w:lang w:eastAsia="en-US"/>
        </w:rPr>
        <w:t>lysis buffer is described in Guévé</w:t>
      </w:r>
      <w:r w:rsidRPr="00F451C2">
        <w:rPr>
          <w:rFonts w:ascii="Times" w:hAnsi="Times" w:cs="Arial"/>
          <w:color w:val="000000"/>
          <w:lang w:eastAsia="en-US"/>
        </w:rPr>
        <w:t>lou et al. (2013) and the extraction method was carried out exactly as described above for the Triton buffer.  </w:t>
      </w:r>
    </w:p>
    <w:p w14:paraId="0DC8D26E" w14:textId="2A90375C"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The activity of </w:t>
      </w:r>
      <w:r w:rsidR="00305757">
        <w:rPr>
          <w:rFonts w:ascii="Times" w:hAnsi="Times" w:cs="Arial"/>
          <w:color w:val="000000"/>
          <w:lang w:eastAsia="en-US"/>
        </w:rPr>
        <w:t>SOD</w:t>
      </w:r>
      <w:r w:rsidRPr="00F451C2">
        <w:rPr>
          <w:rFonts w:ascii="Times" w:hAnsi="Times" w:cs="Arial"/>
          <w:color w:val="000000"/>
          <w:lang w:eastAsia="en-US"/>
        </w:rPr>
        <w:t xml:space="preserve"> was measured using the 19160 SOD determination kit (Sigma) following the manufacturer’s instructions.  Samples were diluted 1:2 in the kit dilution buffer before use in the assay.  A standard curve was prepared using superoxide dismutase (SOD bovine Sigma Reference S7446) diluted to 20, 8, 4, 2, 1, and 0.5 U/mL.  All samples were run in triplicate.  The assay was read on a Synergy HT spectrophotometer at 450 nm (BioTek) with Gen5 v. 2.03 software (BioTek Instruments Inc.) over a 20 minute period with readings every 1 min, 10 sec.  A single time point corresponding to the linear portion of the curve for each sample (at 15 minutes, 10 seconds) was chosen to calculate SOD activity.</w:t>
      </w:r>
    </w:p>
    <w:p w14:paraId="6C3D88A5" w14:textId="7DFF9781" w:rsidR="00F451C2" w:rsidRPr="00F451C2" w:rsidRDefault="00F451C2" w:rsidP="00F451C2">
      <w:pPr>
        <w:spacing w:line="360" w:lineRule="auto"/>
        <w:rPr>
          <w:rFonts w:ascii="Times" w:eastAsia="Times New Roman" w:hAnsi="Times" w:cs="Times New Roman"/>
          <w:lang w:eastAsia="en-US"/>
        </w:rPr>
      </w:pPr>
    </w:p>
    <w:p w14:paraId="0FB0151C" w14:textId="77777777" w:rsidR="00F451C2" w:rsidRDefault="00F451C2" w:rsidP="00BC5F99">
      <w:pPr>
        <w:pStyle w:val="Heading3"/>
        <w:rPr>
          <w:lang w:eastAsia="en-US"/>
        </w:rPr>
      </w:pPr>
      <w:bookmarkStart w:id="96" w:name="_Toc257278838"/>
      <w:r w:rsidRPr="00F451C2">
        <w:rPr>
          <w:lang w:eastAsia="en-US"/>
        </w:rPr>
        <w:t>Protein Concentration</w:t>
      </w:r>
      <w:bookmarkEnd w:id="96"/>
    </w:p>
    <w:p w14:paraId="69301ED2" w14:textId="77777777" w:rsidR="00BC5F99" w:rsidRPr="00BC5F99" w:rsidRDefault="00BC5F99" w:rsidP="00BC5F99"/>
    <w:p w14:paraId="71268DB0" w14:textId="1492C10A"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For protein concentration, protein samples were diluted 1:10.  Protein concentration was determined using the Bio-Rad DC Protein Assay kit following manufacturer’s instructions, with a standard curve from 0-1500 µg/ml of BSA.  Each sample was r</w:t>
      </w:r>
      <w:r w:rsidR="00BC5F99">
        <w:rPr>
          <w:rFonts w:ascii="Times" w:hAnsi="Times" w:cs="Arial"/>
          <w:color w:val="000000"/>
          <w:lang w:eastAsia="en-US"/>
        </w:rPr>
        <w:t>un in triplicate and absorbance</w:t>
      </w:r>
      <w:r w:rsidRPr="00F451C2">
        <w:rPr>
          <w:rFonts w:ascii="Times" w:hAnsi="Times" w:cs="Arial"/>
          <w:color w:val="000000"/>
          <w:lang w:eastAsia="en-US"/>
        </w:rPr>
        <w:t xml:space="preserve"> </w:t>
      </w:r>
      <w:r w:rsidR="00BC5F99">
        <w:rPr>
          <w:rFonts w:ascii="Times" w:hAnsi="Times" w:cs="Arial"/>
          <w:color w:val="000000"/>
          <w:lang w:eastAsia="en-US"/>
        </w:rPr>
        <w:t>was</w:t>
      </w:r>
      <w:r w:rsidRPr="00F451C2">
        <w:rPr>
          <w:rFonts w:ascii="Times" w:hAnsi="Times" w:cs="Arial"/>
          <w:color w:val="000000"/>
          <w:lang w:eastAsia="en-US"/>
        </w:rPr>
        <w:t xml:space="preserve"> read at 750 nm on a Synergy HT spectrophotometer (BioTek) using KC4 v. 3 software (BioTek Instruments Inc.).  If the triplicates had a coefficient of variation greater than 20%, then the outlier was removed from the average of protein concentration.  </w:t>
      </w:r>
    </w:p>
    <w:p w14:paraId="27C6FAC8" w14:textId="0816D612" w:rsidR="00F451C2" w:rsidRPr="00F451C2" w:rsidRDefault="00F451C2" w:rsidP="00F451C2">
      <w:pPr>
        <w:spacing w:line="360" w:lineRule="auto"/>
        <w:rPr>
          <w:rFonts w:ascii="Times" w:eastAsia="Times New Roman" w:hAnsi="Times" w:cs="Times New Roman"/>
          <w:lang w:eastAsia="en-US"/>
        </w:rPr>
      </w:pPr>
    </w:p>
    <w:p w14:paraId="178F7FC9" w14:textId="77777777" w:rsidR="00F451C2" w:rsidRDefault="00F451C2" w:rsidP="00BC5F99">
      <w:pPr>
        <w:pStyle w:val="Heading3"/>
        <w:rPr>
          <w:lang w:eastAsia="en-US"/>
        </w:rPr>
      </w:pPr>
      <w:bookmarkStart w:id="97" w:name="_Toc257278839"/>
      <w:r w:rsidRPr="00F451C2">
        <w:rPr>
          <w:lang w:eastAsia="en-US"/>
        </w:rPr>
        <w:t>Statistical Analysis</w:t>
      </w:r>
      <w:bookmarkEnd w:id="97"/>
    </w:p>
    <w:p w14:paraId="5D0465D6" w14:textId="77777777" w:rsidR="00BC5F99" w:rsidRPr="00BC5F99" w:rsidRDefault="00BC5F99" w:rsidP="00BC5F99"/>
    <w:p w14:paraId="0508C92B" w14:textId="195F86F4"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All statistical analyses were </w:t>
      </w:r>
      <w:r w:rsidR="00BC5F99">
        <w:rPr>
          <w:rFonts w:ascii="Times" w:hAnsi="Times" w:cs="Arial"/>
          <w:color w:val="000000"/>
          <w:lang w:eastAsia="en-US"/>
        </w:rPr>
        <w:t>performed</w:t>
      </w:r>
      <w:r w:rsidRPr="00F451C2">
        <w:rPr>
          <w:rFonts w:ascii="Times" w:hAnsi="Times" w:cs="Arial"/>
          <w:color w:val="000000"/>
          <w:lang w:eastAsia="en-US"/>
        </w:rPr>
        <w:t xml:space="preserve"> in R (R Development Team 2013</w:t>
      </w:r>
      <w:r w:rsidR="00BC5F99">
        <w:rPr>
          <w:rFonts w:ascii="Times" w:hAnsi="Times" w:cs="Arial"/>
          <w:color w:val="000000"/>
          <w:lang w:eastAsia="en-US"/>
        </w:rPr>
        <w:t>)</w:t>
      </w:r>
      <w:r w:rsidR="00305757">
        <w:rPr>
          <w:rFonts w:ascii="Times" w:hAnsi="Times" w:cs="Times New Roman"/>
          <w:lang w:eastAsia="en-US"/>
        </w:rPr>
        <w:t xml:space="preserve">.  </w:t>
      </w:r>
      <w:r w:rsidRPr="00F451C2">
        <w:rPr>
          <w:rFonts w:ascii="Times" w:hAnsi="Times" w:cs="Arial"/>
          <w:color w:val="000000"/>
          <w:lang w:eastAsia="en-US"/>
        </w:rPr>
        <w:t>To calculate GST activity, the first 5 data points were excluded to ensure linearity of the kinetic curve.  The change in absorbance (</w:t>
      </w:r>
      <w:r w:rsidR="00305757">
        <w:rPr>
          <w:rFonts w:ascii="Times" w:hAnsi="Times" w:cs="Arial"/>
          <w:color w:val="000000"/>
          <w:lang w:eastAsia="en-US"/>
        </w:rPr>
        <w:t>Δ</w:t>
      </w:r>
      <w:r w:rsidRPr="00F451C2">
        <w:rPr>
          <w:rFonts w:ascii="Times" w:hAnsi="Times" w:cs="Arial"/>
          <w:color w:val="000000"/>
          <w:lang w:eastAsia="en-US"/>
        </w:rPr>
        <w:t xml:space="preserve">A) was calculated with the following: </w:t>
      </w:r>
    </w:p>
    <w:p w14:paraId="3D1A26CD" w14:textId="6F1F3339" w:rsidR="00F451C2" w:rsidRPr="00F451C2" w:rsidRDefault="00F451C2" w:rsidP="00F451C2">
      <w:pPr>
        <w:spacing w:line="360" w:lineRule="auto"/>
        <w:rPr>
          <w:rFonts w:ascii="Times" w:eastAsia="Times New Roman" w:hAnsi="Times" w:cs="Times New Roman"/>
          <w:lang w:eastAsia="en-US"/>
        </w:rPr>
      </w:pPr>
    </w:p>
    <w:p w14:paraId="2F4F5872" w14:textId="0439ACED" w:rsidR="00F451C2" w:rsidRPr="00F451C2" w:rsidRDefault="00305757" w:rsidP="00F451C2">
      <w:pPr>
        <w:spacing w:line="360" w:lineRule="auto"/>
        <w:rPr>
          <w:rFonts w:ascii="Times" w:hAnsi="Times" w:cs="Times New Roman"/>
          <w:lang w:eastAsia="en-US"/>
        </w:rPr>
      </w:pPr>
      <w:r>
        <w:rPr>
          <w:rFonts w:ascii="Times" w:hAnsi="Times" w:cs="Arial"/>
          <w:color w:val="000000"/>
          <w:lang w:eastAsia="en-US"/>
        </w:rPr>
        <w:t>Δ</w:t>
      </w:r>
      <w:r w:rsidR="00F451C2" w:rsidRPr="00F451C2">
        <w:rPr>
          <w:rFonts w:ascii="Times" w:hAnsi="Times" w:cs="Arial"/>
          <w:color w:val="000000"/>
          <w:lang w:eastAsia="en-US"/>
        </w:rPr>
        <w:t>A = (A</w:t>
      </w:r>
      <w:r w:rsidR="00F451C2" w:rsidRPr="00F451C2">
        <w:rPr>
          <w:rFonts w:ascii="Times" w:hAnsi="Times" w:cs="Arial"/>
          <w:color w:val="000000"/>
          <w:vertAlign w:val="subscript"/>
          <w:lang w:eastAsia="en-US"/>
        </w:rPr>
        <w:t>f</w:t>
      </w:r>
      <w:r w:rsidR="00F451C2" w:rsidRPr="00F451C2">
        <w:rPr>
          <w:rFonts w:ascii="Times" w:hAnsi="Times" w:cs="Arial"/>
          <w:color w:val="000000"/>
          <w:lang w:eastAsia="en-US"/>
        </w:rPr>
        <w:t>-A</w:t>
      </w:r>
      <w:r w:rsidR="00F451C2" w:rsidRPr="00F451C2">
        <w:rPr>
          <w:rFonts w:ascii="Times" w:hAnsi="Times" w:cs="Arial"/>
          <w:color w:val="000000"/>
          <w:vertAlign w:val="subscript"/>
          <w:lang w:eastAsia="en-US"/>
        </w:rPr>
        <w:t>i</w:t>
      </w:r>
      <w:r w:rsidR="00F451C2" w:rsidRPr="00F451C2">
        <w:rPr>
          <w:rFonts w:ascii="Times" w:hAnsi="Times" w:cs="Arial"/>
          <w:color w:val="000000"/>
          <w:lang w:eastAsia="en-US"/>
        </w:rPr>
        <w:t>)/(T</w:t>
      </w:r>
      <w:r w:rsidR="00F451C2" w:rsidRPr="00F451C2">
        <w:rPr>
          <w:rFonts w:ascii="Times" w:hAnsi="Times" w:cs="Arial"/>
          <w:color w:val="000000"/>
          <w:vertAlign w:val="subscript"/>
          <w:lang w:eastAsia="en-US"/>
        </w:rPr>
        <w:t>f</w:t>
      </w:r>
      <w:r w:rsidR="00F451C2" w:rsidRPr="00F451C2">
        <w:rPr>
          <w:rFonts w:ascii="Times" w:hAnsi="Times" w:cs="Arial"/>
          <w:color w:val="000000"/>
          <w:lang w:eastAsia="en-US"/>
        </w:rPr>
        <w:t>-T</w:t>
      </w:r>
      <w:r w:rsidR="00F451C2" w:rsidRPr="00F451C2">
        <w:rPr>
          <w:rFonts w:ascii="Times" w:hAnsi="Times" w:cs="Arial"/>
          <w:color w:val="000000"/>
          <w:vertAlign w:val="subscript"/>
          <w:lang w:eastAsia="en-US"/>
        </w:rPr>
        <w:t>i</w:t>
      </w:r>
      <w:r w:rsidR="00F451C2" w:rsidRPr="00F451C2">
        <w:rPr>
          <w:rFonts w:ascii="Times" w:hAnsi="Times" w:cs="Arial"/>
          <w:color w:val="000000"/>
          <w:lang w:eastAsia="en-US"/>
        </w:rPr>
        <w:t>)  </w:t>
      </w:r>
    </w:p>
    <w:p w14:paraId="1200DC51" w14:textId="1AFD04E0" w:rsidR="00F451C2" w:rsidRPr="00F451C2" w:rsidRDefault="00F451C2" w:rsidP="00F451C2">
      <w:pPr>
        <w:spacing w:line="360" w:lineRule="auto"/>
        <w:rPr>
          <w:rFonts w:ascii="Times" w:eastAsia="Times New Roman" w:hAnsi="Times" w:cs="Times New Roman"/>
          <w:lang w:eastAsia="en-US"/>
        </w:rPr>
      </w:pPr>
    </w:p>
    <w:p w14:paraId="4610CD2B"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 xml:space="preserve">Where A = absorbance at 340 nm, T = time point, the subscript f = final and the subscript i = initial.  GST specific activity is then calculated by the equation: </w:t>
      </w:r>
    </w:p>
    <w:p w14:paraId="0D9BB7E0" w14:textId="77B0BFE4" w:rsidR="00F451C2" w:rsidRPr="00F451C2" w:rsidRDefault="00F451C2" w:rsidP="00F451C2">
      <w:pPr>
        <w:spacing w:line="360" w:lineRule="auto"/>
        <w:rPr>
          <w:rFonts w:ascii="Times" w:eastAsia="Times New Roman" w:hAnsi="Times" w:cs="Times New Roman"/>
          <w:lang w:eastAsia="en-US"/>
        </w:rPr>
      </w:pPr>
    </w:p>
    <w:p w14:paraId="29E9CA44" w14:textId="5A9C7C86"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w:t>
      </w:r>
      <w:r w:rsidR="00305757">
        <w:rPr>
          <w:rFonts w:ascii="Times" w:hAnsi="Times" w:cs="Arial"/>
          <w:color w:val="000000"/>
          <w:lang w:eastAsia="en-US"/>
        </w:rPr>
        <w:t>Δ</w:t>
      </w:r>
      <w:r w:rsidRPr="00F451C2">
        <w:rPr>
          <w:rFonts w:ascii="Times" w:hAnsi="Times" w:cs="Arial"/>
          <w:color w:val="000000"/>
          <w:lang w:eastAsia="en-US"/>
        </w:rPr>
        <w:t xml:space="preserve">A]*0.2mL)/(5.3 mM-1*0.02mL) </w:t>
      </w:r>
    </w:p>
    <w:p w14:paraId="09016DE5" w14:textId="52BE88B6" w:rsidR="00F451C2" w:rsidRPr="00F451C2" w:rsidRDefault="00F451C2" w:rsidP="00F451C2">
      <w:pPr>
        <w:spacing w:line="360" w:lineRule="auto"/>
        <w:rPr>
          <w:rFonts w:ascii="Times" w:eastAsia="Times New Roman" w:hAnsi="Times" w:cs="Times New Roman"/>
          <w:lang w:eastAsia="en-US"/>
        </w:rPr>
      </w:pPr>
    </w:p>
    <w:p w14:paraId="16E19FD8"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where 0.2 mL = reaction volume, 5.3 mM-1 is the extinction coefficient for CDNB in a 96-well plate, and 0.02 mL is the enzyme volume.  For each sample, GST activity was divided by sample concentration to achieve an activity expressed per mg of tissue (µmol/mg/min).  </w:t>
      </w:r>
    </w:p>
    <w:p w14:paraId="55EF95F7" w14:textId="06BE9AEC"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SOD activity is measured as an inhibition rate of the assay.  The inhibition rate is: </w:t>
      </w:r>
    </w:p>
    <w:p w14:paraId="594A0382" w14:textId="77777777" w:rsidR="00F451C2" w:rsidRDefault="00F451C2" w:rsidP="00F451C2">
      <w:pPr>
        <w:spacing w:line="360" w:lineRule="auto"/>
        <w:rPr>
          <w:rFonts w:ascii="Times" w:hAnsi="Times" w:cs="Arial"/>
          <w:color w:val="000000"/>
          <w:lang w:eastAsia="en-US"/>
        </w:rPr>
      </w:pPr>
    </w:p>
    <w:p w14:paraId="6358FDD2"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w:t>
      </w:r>
      <w:r w:rsidRPr="00F451C2">
        <w:rPr>
          <w:rFonts w:ascii="Times" w:hAnsi="Times" w:cs="Arial"/>
          <w:color w:val="000000"/>
          <w:vertAlign w:val="subscript"/>
          <w:lang w:eastAsia="en-US"/>
        </w:rPr>
        <w:t>blank 1</w:t>
      </w:r>
      <w:r w:rsidRPr="00F451C2">
        <w:rPr>
          <w:rFonts w:ascii="Times" w:hAnsi="Times" w:cs="Arial"/>
          <w:color w:val="000000"/>
          <w:lang w:eastAsia="en-US"/>
        </w:rPr>
        <w:t>]-[A</w:t>
      </w:r>
      <w:r w:rsidRPr="00F451C2">
        <w:rPr>
          <w:rFonts w:ascii="Times" w:hAnsi="Times" w:cs="Arial"/>
          <w:color w:val="000000"/>
          <w:vertAlign w:val="subscript"/>
          <w:lang w:eastAsia="en-US"/>
        </w:rPr>
        <w:t>sample</w:t>
      </w:r>
      <w:r w:rsidRPr="00F451C2">
        <w:rPr>
          <w:rFonts w:ascii="Times" w:hAnsi="Times" w:cs="Arial"/>
          <w:color w:val="000000"/>
          <w:lang w:eastAsia="en-US"/>
        </w:rPr>
        <w:t>])/(A</w:t>
      </w:r>
      <w:r w:rsidRPr="00F451C2">
        <w:rPr>
          <w:rFonts w:ascii="Times" w:hAnsi="Times" w:cs="Arial"/>
          <w:color w:val="000000"/>
          <w:vertAlign w:val="subscript"/>
          <w:lang w:eastAsia="en-US"/>
        </w:rPr>
        <w:t>blank 1</w:t>
      </w:r>
      <w:r w:rsidRPr="00F451C2">
        <w:rPr>
          <w:rFonts w:ascii="Times" w:hAnsi="Times" w:cs="Arial"/>
          <w:color w:val="000000"/>
          <w:lang w:eastAsia="en-US"/>
        </w:rPr>
        <w:t>)} * 100.  </w:t>
      </w:r>
    </w:p>
    <w:p w14:paraId="680E3A01" w14:textId="12A7EAAC" w:rsidR="00F451C2" w:rsidRPr="00F451C2" w:rsidRDefault="00F451C2" w:rsidP="00F451C2">
      <w:pPr>
        <w:spacing w:line="360" w:lineRule="auto"/>
        <w:rPr>
          <w:rFonts w:ascii="Times" w:eastAsia="Times New Roman" w:hAnsi="Times" w:cs="Times New Roman"/>
          <w:lang w:eastAsia="en-US"/>
        </w:rPr>
      </w:pPr>
      <w:r w:rsidRPr="00F451C2">
        <w:rPr>
          <w:rFonts w:ascii="Times" w:eastAsia="Times New Roman" w:hAnsi="Times" w:cs="Times New Roman"/>
          <w:lang w:eastAsia="en-US"/>
        </w:rPr>
        <w:br/>
      </w:r>
      <w:r w:rsidRPr="00F451C2">
        <w:rPr>
          <w:rFonts w:ascii="Times" w:eastAsia="Times New Roman" w:hAnsi="Times" w:cs="Arial"/>
          <w:color w:val="000000"/>
          <w:lang w:eastAsia="en-US"/>
        </w:rPr>
        <w:t xml:space="preserve">Blanks 2 and 3 were also run, as per the manufacturer’s protocol, but since their kinetic slopes = 0 they were excluded from the calculations </w:t>
      </w:r>
      <w:r w:rsidR="001C08F9">
        <w:rPr>
          <w:rFonts w:ascii="Times" w:eastAsia="Times New Roman" w:hAnsi="Times" w:cs="Arial"/>
          <w:color w:val="000000"/>
          <w:lang w:eastAsia="en-US"/>
        </w:rPr>
        <w:t>because they did not represent a significant contribution</w:t>
      </w:r>
      <w:r w:rsidRPr="00F451C2">
        <w:rPr>
          <w:rFonts w:ascii="Times" w:eastAsia="Times New Roman" w:hAnsi="Times" w:cs="Arial"/>
          <w:color w:val="000000"/>
          <w:lang w:eastAsia="en-US"/>
        </w:rPr>
        <w:t xml:space="preserve"> to the background SOD activity.  Replicates were excluded (1 each for 6 samples) if linearity of the reaction curve was not achieved by the time point 15 min, 10s.  The linear relationship between % inhibition and ln[standard concentration] was plotted and the equation for the line of best fit was used to calculate U/ml of SOD (based on % inhibition) for all of the samples (Supplementary Figure </w:t>
      </w:r>
      <w:r w:rsidR="00305757">
        <w:rPr>
          <w:rFonts w:ascii="Times" w:eastAsia="Times New Roman" w:hAnsi="Times" w:cs="Arial"/>
          <w:color w:val="000000"/>
          <w:lang w:eastAsia="en-US"/>
        </w:rPr>
        <w:t>AppA.</w:t>
      </w:r>
      <w:r w:rsidRPr="00F451C2">
        <w:rPr>
          <w:rFonts w:ascii="Times" w:eastAsia="Times New Roman" w:hAnsi="Times" w:cs="Arial"/>
          <w:color w:val="000000"/>
          <w:lang w:eastAsia="en-US"/>
        </w:rPr>
        <w:t>1).</w:t>
      </w:r>
    </w:p>
    <w:p w14:paraId="04098AC1" w14:textId="3668F988" w:rsidR="00F451C2" w:rsidRPr="00305757" w:rsidRDefault="00F451C2" w:rsidP="00305757">
      <w:pPr>
        <w:spacing w:line="360" w:lineRule="auto"/>
        <w:ind w:firstLine="720"/>
        <w:rPr>
          <w:rFonts w:ascii="Times" w:eastAsia="Times New Roman" w:hAnsi="Times" w:cs="Times New Roman"/>
          <w:lang w:eastAsia="en-US"/>
        </w:rPr>
      </w:pPr>
      <w:r w:rsidRPr="00F451C2">
        <w:rPr>
          <w:rFonts w:ascii="Times" w:eastAsia="Times New Roman" w:hAnsi="Times" w:cs="Arial"/>
          <w:color w:val="000000"/>
          <w:lang w:eastAsia="en-US"/>
        </w:rPr>
        <w:t>For GST and SOD activity, effect of treatment on enzyme activity was explored with a one-way ANOVA with treatment as a fixed factor and significant differences were further investigated using Tukey’s HSD.</w:t>
      </w:r>
    </w:p>
    <w:p w14:paraId="04D4149B" w14:textId="77777777" w:rsidR="00F451C2" w:rsidRPr="00F451C2" w:rsidRDefault="00F451C2" w:rsidP="00F451C2"/>
    <w:p w14:paraId="3D8670C1" w14:textId="77777777" w:rsidR="00C02D9B" w:rsidRDefault="00C02D9B" w:rsidP="00C02D9B">
      <w:pPr>
        <w:pStyle w:val="Heading2"/>
      </w:pPr>
      <w:bookmarkStart w:id="98" w:name="_Toc257278840"/>
      <w:r>
        <w:t>Results</w:t>
      </w:r>
      <w:bookmarkEnd w:id="98"/>
    </w:p>
    <w:p w14:paraId="588A4BD2" w14:textId="77777777" w:rsidR="00F451C2" w:rsidRDefault="00F451C2" w:rsidP="00BC5F99">
      <w:pPr>
        <w:pStyle w:val="Heading3"/>
        <w:rPr>
          <w:lang w:eastAsia="en-US"/>
        </w:rPr>
      </w:pPr>
      <w:bookmarkStart w:id="99" w:name="_Toc257278841"/>
      <w:r w:rsidRPr="00F451C2">
        <w:rPr>
          <w:lang w:eastAsia="en-US"/>
        </w:rPr>
        <w:t>Glutathione S-transferase</w:t>
      </w:r>
      <w:bookmarkEnd w:id="99"/>
    </w:p>
    <w:p w14:paraId="00C8F292" w14:textId="77777777" w:rsidR="00BC5F99" w:rsidRPr="00BC5F99" w:rsidRDefault="00BC5F99" w:rsidP="00BC5F99"/>
    <w:p w14:paraId="388C2D86" w14:textId="2D391C09" w:rsidR="00F451C2" w:rsidRDefault="00F451C2" w:rsidP="007245FE">
      <w:pPr>
        <w:spacing w:line="360" w:lineRule="auto"/>
        <w:ind w:firstLine="720"/>
        <w:rPr>
          <w:rFonts w:ascii="Times" w:eastAsia="Times New Roman" w:hAnsi="Times" w:cs="Times New Roman"/>
          <w:lang w:eastAsia="en-US"/>
        </w:rPr>
      </w:pPr>
      <w:r w:rsidRPr="00F451C2">
        <w:rPr>
          <w:rFonts w:ascii="Times" w:eastAsia="Times New Roman" w:hAnsi="Times" w:cs="Arial"/>
          <w:color w:val="000000"/>
          <w:lang w:eastAsia="en-US"/>
        </w:rPr>
        <w:t>Mean GST activity</w:t>
      </w:r>
      <w:r w:rsidR="00305757">
        <w:rPr>
          <w:rFonts w:ascii="Times" w:eastAsia="Times New Roman" w:hAnsi="Times" w:cs="Arial"/>
          <w:color w:val="000000"/>
          <w:lang w:eastAsia="en-US"/>
        </w:rPr>
        <w:t xml:space="preserve"> (mean </w:t>
      </w:r>
      <w:r w:rsidR="00305757" w:rsidRPr="00F451C2">
        <w:rPr>
          <w:rFonts w:ascii="Times" w:eastAsia="Times New Roman" w:hAnsi="Times" w:cs="Arial"/>
          <w:i/>
          <w:iCs/>
          <w:color w:val="000000"/>
          <w:lang w:eastAsia="en-US"/>
        </w:rPr>
        <w:t>±</w:t>
      </w:r>
      <w:r w:rsidR="00305757" w:rsidRPr="00F451C2">
        <w:rPr>
          <w:rFonts w:ascii="Times" w:eastAsia="Times New Roman" w:hAnsi="Times" w:cs="Arial"/>
          <w:color w:val="000000"/>
          <w:lang w:eastAsia="en-US"/>
        </w:rPr>
        <w:t xml:space="preserve"> 95% confidence interval</w:t>
      </w:r>
      <w:r w:rsidR="00305757">
        <w:rPr>
          <w:rFonts w:ascii="Times" w:eastAsia="Times New Roman" w:hAnsi="Times" w:cs="Arial"/>
          <w:color w:val="000000"/>
          <w:lang w:eastAsia="en-US"/>
        </w:rPr>
        <w:t>)</w:t>
      </w:r>
      <w:r w:rsidRPr="00F451C2">
        <w:rPr>
          <w:rFonts w:ascii="Times" w:eastAsia="Times New Roman" w:hAnsi="Times" w:cs="Arial"/>
          <w:color w:val="000000"/>
          <w:lang w:eastAsia="en-US"/>
        </w:rPr>
        <w:t xml:space="preserve"> was 0.0198 </w:t>
      </w:r>
      <w:r w:rsidRPr="00F451C2">
        <w:rPr>
          <w:rFonts w:ascii="Times" w:eastAsia="Times New Roman" w:hAnsi="Times" w:cs="Arial"/>
          <w:i/>
          <w:iCs/>
          <w:color w:val="000000"/>
          <w:lang w:eastAsia="en-US"/>
        </w:rPr>
        <w:t>±</w:t>
      </w:r>
      <w:r w:rsidR="00305757">
        <w:rPr>
          <w:rFonts w:ascii="Times" w:eastAsia="Times New Roman" w:hAnsi="Times" w:cs="Arial"/>
          <w:color w:val="000000"/>
          <w:lang w:eastAsia="en-US"/>
        </w:rPr>
        <w:t xml:space="preserve"> 0</w:t>
      </w:r>
      <w:r w:rsidRPr="00F451C2">
        <w:rPr>
          <w:rFonts w:ascii="Times" w:eastAsia="Times New Roman" w:hAnsi="Times" w:cs="Arial"/>
          <w:color w:val="000000"/>
          <w:lang w:eastAsia="en-US"/>
        </w:rPr>
        <w:t xml:space="preserve">.0098 µmol/mg/min for oysters in the 400 µatm treatment, 0.0156 </w:t>
      </w:r>
      <w:r w:rsidRPr="00F451C2">
        <w:rPr>
          <w:rFonts w:ascii="Times" w:eastAsia="Times New Roman" w:hAnsi="Times" w:cs="Arial"/>
          <w:i/>
          <w:iCs/>
          <w:color w:val="000000"/>
          <w:lang w:eastAsia="en-US"/>
        </w:rPr>
        <w:t>±</w:t>
      </w:r>
      <w:r w:rsidRPr="00F451C2">
        <w:rPr>
          <w:rFonts w:ascii="Times" w:eastAsia="Times New Roman" w:hAnsi="Times" w:cs="Arial"/>
          <w:color w:val="000000"/>
          <w:lang w:eastAsia="en-US"/>
        </w:rPr>
        <w:t xml:space="preserve"> 0.0078 µmol/mg/min for oysters from 1000 µatm,</w:t>
      </w:r>
      <w:r w:rsidR="00305757">
        <w:rPr>
          <w:rFonts w:ascii="Times" w:eastAsia="Times New Roman" w:hAnsi="Times" w:cs="Arial"/>
          <w:color w:val="000000"/>
          <w:lang w:eastAsia="en-US"/>
        </w:rPr>
        <w:t xml:space="preserve"> and</w:t>
      </w:r>
      <w:r w:rsidRPr="00F451C2">
        <w:rPr>
          <w:rFonts w:ascii="Times" w:eastAsia="Times New Roman" w:hAnsi="Times" w:cs="Arial"/>
          <w:color w:val="000000"/>
          <w:lang w:eastAsia="en-US"/>
        </w:rPr>
        <w:t xml:space="preserve"> 0.0161 </w:t>
      </w:r>
      <w:r w:rsidRPr="00F451C2">
        <w:rPr>
          <w:rFonts w:ascii="Times" w:eastAsia="Times New Roman" w:hAnsi="Times" w:cs="Arial"/>
          <w:i/>
          <w:iCs/>
          <w:color w:val="000000"/>
          <w:lang w:eastAsia="en-US"/>
        </w:rPr>
        <w:t>±</w:t>
      </w:r>
      <w:r w:rsidRPr="00F451C2">
        <w:rPr>
          <w:rFonts w:ascii="Times" w:eastAsia="Times New Roman" w:hAnsi="Times" w:cs="Arial"/>
          <w:color w:val="000000"/>
          <w:lang w:eastAsia="en-US"/>
        </w:rPr>
        <w:t xml:space="preserve"> 0.093 µmol/mg/min for oysters from 2800 µatm</w:t>
      </w:r>
      <w:r w:rsidR="00305757">
        <w:rPr>
          <w:rFonts w:ascii="Times" w:eastAsia="Times New Roman" w:hAnsi="Times" w:cs="Arial"/>
          <w:color w:val="000000"/>
          <w:lang w:eastAsia="en-US"/>
        </w:rPr>
        <w:t xml:space="preserve"> </w:t>
      </w:r>
      <w:r w:rsidRPr="00F451C2">
        <w:rPr>
          <w:rFonts w:ascii="Times" w:eastAsia="Times New Roman" w:hAnsi="Times" w:cs="Arial"/>
          <w:color w:val="000000"/>
          <w:lang w:eastAsia="en-US"/>
        </w:rPr>
        <w:t xml:space="preserve">(Figure </w:t>
      </w:r>
      <w:r w:rsidR="00305757">
        <w:rPr>
          <w:rFonts w:ascii="Times" w:eastAsia="Times New Roman" w:hAnsi="Times" w:cs="Arial"/>
          <w:color w:val="000000"/>
          <w:lang w:eastAsia="en-US"/>
        </w:rPr>
        <w:t>AppA.</w:t>
      </w:r>
      <w:r w:rsidRPr="00F451C2">
        <w:rPr>
          <w:rFonts w:ascii="Times" w:eastAsia="Times New Roman" w:hAnsi="Times" w:cs="Arial"/>
          <w:color w:val="000000"/>
          <w:lang w:eastAsia="en-US"/>
        </w:rPr>
        <w:t>1).  There was no significant difference in GST activity among treatment groups (F=0.</w:t>
      </w:r>
      <w:r w:rsidR="0036143A">
        <w:rPr>
          <w:rFonts w:ascii="Times" w:eastAsia="Times New Roman" w:hAnsi="Times" w:cs="Arial"/>
          <w:color w:val="000000"/>
          <w:lang w:eastAsia="en-US"/>
        </w:rPr>
        <w:t>4596</w:t>
      </w:r>
      <w:r w:rsidRPr="00F451C2">
        <w:rPr>
          <w:rFonts w:ascii="Times" w:eastAsia="Times New Roman" w:hAnsi="Times" w:cs="Arial"/>
          <w:color w:val="000000"/>
          <w:lang w:eastAsia="en-US"/>
        </w:rPr>
        <w:t>, p=0.</w:t>
      </w:r>
      <w:r w:rsidR="0036143A">
        <w:rPr>
          <w:rFonts w:ascii="Times" w:eastAsia="Times New Roman" w:hAnsi="Times" w:cs="Arial"/>
          <w:color w:val="000000"/>
          <w:lang w:eastAsia="en-US"/>
        </w:rPr>
        <w:t>6493</w:t>
      </w:r>
      <w:r w:rsidRPr="00F451C2">
        <w:rPr>
          <w:rFonts w:ascii="Times" w:eastAsia="Times New Roman" w:hAnsi="Times" w:cs="Arial"/>
          <w:color w:val="000000"/>
          <w:lang w:eastAsia="en-US"/>
        </w:rPr>
        <w:t>).</w:t>
      </w:r>
    </w:p>
    <w:p w14:paraId="02F548A2" w14:textId="77777777" w:rsidR="007245FE" w:rsidRPr="007245FE" w:rsidRDefault="007245FE" w:rsidP="007245FE">
      <w:pPr>
        <w:spacing w:line="360" w:lineRule="auto"/>
        <w:ind w:firstLine="720"/>
        <w:rPr>
          <w:rFonts w:ascii="Times" w:eastAsia="Times New Roman" w:hAnsi="Times" w:cs="Times New Roman"/>
          <w:lang w:eastAsia="en-US"/>
        </w:rPr>
      </w:pPr>
    </w:p>
    <w:p w14:paraId="3FE6B145" w14:textId="41B397D6" w:rsidR="00F451C2" w:rsidRDefault="00F451C2" w:rsidP="00BC5F99">
      <w:pPr>
        <w:pStyle w:val="Heading3"/>
        <w:rPr>
          <w:lang w:eastAsia="en-US"/>
        </w:rPr>
      </w:pPr>
      <w:bookmarkStart w:id="100" w:name="_Toc257278842"/>
      <w:r w:rsidRPr="00F451C2">
        <w:rPr>
          <w:lang w:eastAsia="en-US"/>
        </w:rPr>
        <w:t>Superoxide dismutase</w:t>
      </w:r>
      <w:bookmarkEnd w:id="100"/>
    </w:p>
    <w:p w14:paraId="380E79CC" w14:textId="77777777" w:rsidR="00BC5F99" w:rsidRPr="00BC5F99" w:rsidRDefault="00BC5F99" w:rsidP="00BC5F99"/>
    <w:p w14:paraId="3614D47E" w14:textId="75B7B8A9" w:rsidR="00F451C2" w:rsidRPr="007245FE" w:rsidRDefault="00F451C2" w:rsidP="007245FE">
      <w:pPr>
        <w:spacing w:line="360" w:lineRule="auto"/>
        <w:ind w:firstLine="720"/>
        <w:rPr>
          <w:rFonts w:ascii="Times" w:hAnsi="Times" w:cs="Arial"/>
          <w:color w:val="000000"/>
          <w:lang w:eastAsia="en-US"/>
        </w:rPr>
      </w:pPr>
      <w:r w:rsidRPr="00F451C2">
        <w:rPr>
          <w:rFonts w:ascii="Times" w:hAnsi="Times" w:cs="Arial"/>
          <w:color w:val="000000"/>
          <w:lang w:eastAsia="en-US"/>
        </w:rPr>
        <w:t>Mean SOD activity</w:t>
      </w:r>
      <w:r w:rsidR="00305757">
        <w:rPr>
          <w:rFonts w:ascii="Times" w:hAnsi="Times" w:cs="Arial"/>
          <w:color w:val="000000"/>
          <w:lang w:eastAsia="en-US"/>
        </w:rPr>
        <w:t xml:space="preserve"> (mean </w:t>
      </w:r>
      <w:r w:rsidR="00305757" w:rsidRPr="00F451C2">
        <w:rPr>
          <w:rFonts w:ascii="Times" w:eastAsia="Times New Roman" w:hAnsi="Times" w:cs="Arial"/>
          <w:i/>
          <w:iCs/>
          <w:color w:val="000000"/>
          <w:lang w:eastAsia="en-US"/>
        </w:rPr>
        <w:t>±</w:t>
      </w:r>
      <w:r w:rsidR="00305757" w:rsidRPr="00F451C2">
        <w:rPr>
          <w:rFonts w:ascii="Times" w:eastAsia="Times New Roman" w:hAnsi="Times" w:cs="Arial"/>
          <w:color w:val="000000"/>
          <w:lang w:eastAsia="en-US"/>
        </w:rPr>
        <w:t xml:space="preserve"> 95% confidence interval</w:t>
      </w:r>
      <w:r w:rsidR="00305757">
        <w:rPr>
          <w:rFonts w:ascii="Times" w:eastAsia="Times New Roman" w:hAnsi="Times" w:cs="Arial"/>
          <w:color w:val="000000"/>
          <w:lang w:eastAsia="en-US"/>
        </w:rPr>
        <w:t>)</w:t>
      </w:r>
      <w:r w:rsidRPr="00F451C2">
        <w:rPr>
          <w:rFonts w:ascii="Times" w:hAnsi="Times" w:cs="Arial"/>
          <w:color w:val="000000"/>
          <w:lang w:eastAsia="en-US"/>
        </w:rPr>
        <w:t xml:space="preserve"> was 0.75 </w:t>
      </w:r>
      <w:r w:rsidRPr="00F451C2">
        <w:rPr>
          <w:rFonts w:ascii="Times" w:hAnsi="Times" w:cs="Arial"/>
          <w:i/>
          <w:iCs/>
          <w:color w:val="000000"/>
          <w:lang w:eastAsia="en-US"/>
        </w:rPr>
        <w:t>±</w:t>
      </w:r>
      <w:r w:rsidRPr="00F451C2">
        <w:rPr>
          <w:rFonts w:ascii="Times" w:hAnsi="Times" w:cs="Arial"/>
          <w:color w:val="000000"/>
          <w:lang w:eastAsia="en-US"/>
        </w:rPr>
        <w:t xml:space="preserve"> 0.3 U/mg for the 400 µatm oysters, 1.05 </w:t>
      </w:r>
      <w:r w:rsidRPr="00F451C2">
        <w:rPr>
          <w:rFonts w:ascii="Times" w:hAnsi="Times" w:cs="Arial"/>
          <w:i/>
          <w:iCs/>
          <w:color w:val="000000"/>
          <w:lang w:eastAsia="en-US"/>
        </w:rPr>
        <w:t>±</w:t>
      </w:r>
      <w:r w:rsidRPr="00F451C2">
        <w:rPr>
          <w:rFonts w:ascii="Times" w:hAnsi="Times" w:cs="Arial"/>
          <w:color w:val="000000"/>
          <w:lang w:eastAsia="en-US"/>
        </w:rPr>
        <w:t xml:space="preserve"> 0.7 U/mg for the 1000 µatm oysters, 2.60 </w:t>
      </w:r>
      <w:r w:rsidRPr="00F451C2">
        <w:rPr>
          <w:rFonts w:ascii="Times" w:hAnsi="Times" w:cs="Arial"/>
          <w:i/>
          <w:iCs/>
          <w:color w:val="000000"/>
          <w:lang w:eastAsia="en-US"/>
        </w:rPr>
        <w:t>±</w:t>
      </w:r>
      <w:r w:rsidRPr="00F451C2">
        <w:rPr>
          <w:rFonts w:ascii="Times" w:hAnsi="Times" w:cs="Arial"/>
          <w:color w:val="000000"/>
          <w:lang w:eastAsia="en-US"/>
        </w:rPr>
        <w:t xml:space="preserve"> 0.4 U/mg for the 2800 µatm oysters</w:t>
      </w:r>
      <w:r w:rsidR="00305757">
        <w:rPr>
          <w:rFonts w:ascii="Times" w:hAnsi="Times" w:cs="Arial"/>
          <w:color w:val="000000"/>
          <w:lang w:eastAsia="en-US"/>
        </w:rPr>
        <w:t xml:space="preserve"> </w:t>
      </w:r>
      <w:r w:rsidRPr="00F451C2">
        <w:rPr>
          <w:rFonts w:ascii="Times" w:hAnsi="Times" w:cs="Arial"/>
          <w:color w:val="000000"/>
          <w:lang w:eastAsia="en-US"/>
        </w:rPr>
        <w:t xml:space="preserve">(Figure </w:t>
      </w:r>
      <w:r w:rsidR="00305757">
        <w:rPr>
          <w:rFonts w:ascii="Times" w:hAnsi="Times" w:cs="Arial"/>
          <w:color w:val="000000"/>
          <w:lang w:eastAsia="en-US"/>
        </w:rPr>
        <w:t>AppA.</w:t>
      </w:r>
      <w:r w:rsidRPr="00F451C2">
        <w:rPr>
          <w:rFonts w:ascii="Times" w:hAnsi="Times" w:cs="Arial"/>
          <w:color w:val="000000"/>
          <w:lang w:eastAsia="en-US"/>
        </w:rPr>
        <w:t>2).  There was significant effect of treatment on SOD activity (F=</w:t>
      </w:r>
      <w:r w:rsidR="0036143A">
        <w:rPr>
          <w:rFonts w:ascii="Times" w:hAnsi="Times" w:cs="Arial"/>
          <w:color w:val="000000"/>
          <w:lang w:eastAsia="en-US"/>
        </w:rPr>
        <w:t>40.799</w:t>
      </w:r>
      <w:r w:rsidRPr="00F451C2">
        <w:rPr>
          <w:rFonts w:ascii="Times" w:hAnsi="Times" w:cs="Arial"/>
          <w:color w:val="000000"/>
          <w:lang w:eastAsia="en-US"/>
        </w:rPr>
        <w:t>, p=</w:t>
      </w:r>
      <w:r w:rsidR="0036143A">
        <w:rPr>
          <w:rFonts w:ascii="Times" w:hAnsi="Times" w:cs="Arial"/>
          <w:color w:val="000000"/>
          <w:lang w:eastAsia="en-US"/>
        </w:rPr>
        <w:t>8.153e-6</w:t>
      </w:r>
      <w:r w:rsidRPr="00F451C2">
        <w:rPr>
          <w:rFonts w:ascii="Times" w:hAnsi="Times" w:cs="Arial"/>
          <w:color w:val="000000"/>
          <w:lang w:eastAsia="en-US"/>
        </w:rPr>
        <w:t>).  This difference was due to the elevated SOD activity in oysters exposed to 2800 µatm compared to the other two treatments (</w:t>
      </w:r>
      <w:r w:rsidR="00305757">
        <w:rPr>
          <w:rFonts w:ascii="Times" w:hAnsi="Times" w:cs="Arial"/>
          <w:color w:val="000000"/>
          <w:lang w:eastAsia="en-US"/>
        </w:rPr>
        <w:t>p &lt; 0.05</w:t>
      </w:r>
      <w:r w:rsidRPr="00F451C2">
        <w:rPr>
          <w:rFonts w:ascii="Times" w:hAnsi="Times" w:cs="Arial"/>
          <w:color w:val="000000"/>
          <w:lang w:eastAsia="en-US"/>
        </w:rPr>
        <w:t>), which were not different from each other.</w:t>
      </w:r>
    </w:p>
    <w:p w14:paraId="69A07580" w14:textId="77777777" w:rsidR="00C02D9B" w:rsidRDefault="00C02D9B" w:rsidP="00C02D9B">
      <w:pPr>
        <w:pStyle w:val="Heading2"/>
      </w:pPr>
      <w:bookmarkStart w:id="101" w:name="_Toc257278843"/>
      <w:r>
        <w:t>Discussion</w:t>
      </w:r>
      <w:bookmarkEnd w:id="101"/>
    </w:p>
    <w:p w14:paraId="379DEEFC" w14:textId="77777777" w:rsidR="00C85C10" w:rsidRPr="00C85C10" w:rsidRDefault="00C85C10" w:rsidP="00C85C10"/>
    <w:p w14:paraId="4BC8A417" w14:textId="3EED32C1" w:rsidR="00C02D9B" w:rsidRPr="00114AD7" w:rsidRDefault="004238B2" w:rsidP="002053D6">
      <w:pPr>
        <w:spacing w:line="360" w:lineRule="auto"/>
        <w:rPr>
          <w:rFonts w:ascii="Times" w:eastAsia="Times New Roman" w:hAnsi="Times" w:cs="Arial"/>
          <w:iCs/>
          <w:color w:val="000000"/>
          <w:lang w:eastAsia="en-US"/>
        </w:rPr>
      </w:pPr>
      <w:r>
        <w:tab/>
      </w:r>
      <w:r w:rsidR="006121D9" w:rsidRPr="00114AD7">
        <w:rPr>
          <w:rFonts w:ascii="Times" w:hAnsi="Times"/>
        </w:rPr>
        <w:t xml:space="preserve">Moderately elevated </w:t>
      </w:r>
      <w:r w:rsidR="006121D9" w:rsidRPr="00114AD7">
        <w:rPr>
          <w:rFonts w:ascii="Times" w:hAnsi="Times"/>
          <w:i/>
        </w:rPr>
        <w:t>p</w:t>
      </w:r>
      <w:r w:rsidR="006121D9" w:rsidRPr="00114AD7">
        <w:rPr>
          <w:rFonts w:ascii="Times" w:hAnsi="Times"/>
        </w:rPr>
        <w:t>CO</w:t>
      </w:r>
      <w:r w:rsidR="006121D9" w:rsidRPr="00114AD7">
        <w:rPr>
          <w:rFonts w:ascii="Times" w:hAnsi="Times"/>
          <w:vertAlign w:val="subscript"/>
        </w:rPr>
        <w:t>2</w:t>
      </w:r>
      <w:r w:rsidR="006121D9" w:rsidRPr="00114AD7">
        <w:rPr>
          <w:rFonts w:ascii="Times" w:hAnsi="Times"/>
        </w:rPr>
        <w:t xml:space="preserve"> (1000 </w:t>
      </w:r>
      <w:r w:rsidR="006121D9" w:rsidRPr="00114AD7">
        <w:rPr>
          <w:rFonts w:ascii="Times" w:eastAsia="Times New Roman" w:hAnsi="Times" w:cs="Arial"/>
          <w:iCs/>
          <w:color w:val="000000"/>
          <w:lang w:eastAsia="en-US"/>
        </w:rPr>
        <w:t xml:space="preserve">µatm) does not lead to oxidative stress in </w:t>
      </w:r>
      <w:r w:rsidR="006121D9" w:rsidRPr="00114AD7">
        <w:rPr>
          <w:rFonts w:ascii="Times" w:eastAsia="Times New Roman" w:hAnsi="Times" w:cs="Arial"/>
          <w:i/>
          <w:iCs/>
          <w:color w:val="000000"/>
          <w:lang w:eastAsia="en-US"/>
        </w:rPr>
        <w:t>C. gigas</w:t>
      </w:r>
      <w:r w:rsidR="006121D9" w:rsidRPr="00114AD7">
        <w:rPr>
          <w:rFonts w:ascii="Times" w:eastAsia="Times New Roman" w:hAnsi="Times" w:cs="Arial"/>
          <w:iCs/>
          <w:color w:val="000000"/>
          <w:lang w:eastAsia="en-US"/>
        </w:rPr>
        <w:t>, but highly elevated</w:t>
      </w:r>
      <w:r w:rsidR="008C2481" w:rsidRPr="00114AD7">
        <w:rPr>
          <w:rFonts w:ascii="Times" w:eastAsia="Times New Roman" w:hAnsi="Times" w:cs="Arial"/>
          <w:iCs/>
          <w:color w:val="000000"/>
          <w:lang w:eastAsia="en-US"/>
        </w:rPr>
        <w:t xml:space="preserve"> </w:t>
      </w:r>
      <w:r w:rsidR="008C2481" w:rsidRPr="00114AD7">
        <w:rPr>
          <w:rFonts w:ascii="Times" w:eastAsia="Times New Roman" w:hAnsi="Times" w:cs="Arial"/>
          <w:i/>
          <w:iCs/>
          <w:color w:val="000000"/>
          <w:lang w:eastAsia="en-US"/>
        </w:rPr>
        <w:t>p</w:t>
      </w:r>
      <w:r w:rsidR="008C2481" w:rsidRPr="00114AD7">
        <w:rPr>
          <w:rFonts w:ascii="Times" w:eastAsia="Times New Roman" w:hAnsi="Times" w:cs="Arial"/>
          <w:iCs/>
          <w:color w:val="000000"/>
          <w:lang w:eastAsia="en-US"/>
        </w:rPr>
        <w:t>CO</w:t>
      </w:r>
      <w:r w:rsidR="008C2481" w:rsidRPr="00114AD7">
        <w:rPr>
          <w:rFonts w:ascii="Times" w:eastAsia="Times New Roman" w:hAnsi="Times" w:cs="Arial"/>
          <w:iCs/>
          <w:color w:val="000000"/>
          <w:vertAlign w:val="subscript"/>
          <w:lang w:eastAsia="en-US"/>
        </w:rPr>
        <w:t>2</w:t>
      </w:r>
      <w:r w:rsidR="006121D9" w:rsidRPr="00114AD7">
        <w:rPr>
          <w:rFonts w:ascii="Times" w:eastAsia="Times New Roman" w:hAnsi="Times" w:cs="Arial"/>
          <w:iCs/>
          <w:color w:val="000000"/>
          <w:lang w:eastAsia="en-US"/>
        </w:rPr>
        <w:t xml:space="preserve"> (2800 µatm) </w:t>
      </w:r>
      <w:r w:rsidR="008C2481" w:rsidRPr="00114AD7">
        <w:rPr>
          <w:rFonts w:ascii="Times" w:eastAsia="Times New Roman" w:hAnsi="Times" w:cs="Arial"/>
          <w:iCs/>
          <w:color w:val="000000"/>
          <w:lang w:eastAsia="en-US"/>
        </w:rPr>
        <w:t>instigates</w:t>
      </w:r>
      <w:r w:rsidR="006121D9" w:rsidRPr="00114AD7">
        <w:rPr>
          <w:rFonts w:ascii="Times" w:eastAsia="Times New Roman" w:hAnsi="Times" w:cs="Arial"/>
          <w:iCs/>
          <w:color w:val="000000"/>
          <w:lang w:eastAsia="en-US"/>
        </w:rPr>
        <w:t xml:space="preserve"> an antiox</w:t>
      </w:r>
      <w:r w:rsidR="002053D6" w:rsidRPr="00114AD7">
        <w:rPr>
          <w:rFonts w:ascii="Times" w:eastAsia="Times New Roman" w:hAnsi="Times" w:cs="Arial"/>
          <w:iCs/>
          <w:color w:val="000000"/>
          <w:lang w:eastAsia="en-US"/>
        </w:rPr>
        <w:t>idant response.  Superoxide dis</w:t>
      </w:r>
      <w:r w:rsidR="006121D9" w:rsidRPr="00114AD7">
        <w:rPr>
          <w:rFonts w:ascii="Times" w:eastAsia="Times New Roman" w:hAnsi="Times" w:cs="Arial"/>
          <w:iCs/>
          <w:color w:val="000000"/>
          <w:lang w:eastAsia="en-US"/>
        </w:rPr>
        <w:t xml:space="preserve">mutase </w:t>
      </w:r>
      <w:r w:rsidR="00EF7B60" w:rsidRPr="00114AD7">
        <w:rPr>
          <w:rFonts w:ascii="Times" w:eastAsia="Times New Roman" w:hAnsi="Times" w:cs="Arial"/>
          <w:iCs/>
          <w:color w:val="000000"/>
          <w:lang w:eastAsia="en-US"/>
        </w:rPr>
        <w:t>activity was significantly elevated in oysters e</w:t>
      </w:r>
      <w:r w:rsidR="00F061DB" w:rsidRPr="00114AD7">
        <w:rPr>
          <w:rFonts w:ascii="Times" w:eastAsia="Times New Roman" w:hAnsi="Times" w:cs="Arial"/>
          <w:iCs/>
          <w:color w:val="000000"/>
          <w:lang w:eastAsia="en-US"/>
        </w:rPr>
        <w:t xml:space="preserve">xposed to the highest </w:t>
      </w:r>
      <w:r w:rsidR="00F061DB" w:rsidRPr="00114AD7">
        <w:rPr>
          <w:rFonts w:ascii="Times" w:eastAsia="Times New Roman" w:hAnsi="Times" w:cs="Arial"/>
          <w:i/>
          <w:iCs/>
          <w:color w:val="000000"/>
          <w:lang w:eastAsia="en-US"/>
        </w:rPr>
        <w:t>p</w:t>
      </w:r>
      <w:r w:rsidR="00F061DB" w:rsidRPr="00114AD7">
        <w:rPr>
          <w:rFonts w:ascii="Times" w:eastAsia="Times New Roman" w:hAnsi="Times" w:cs="Arial"/>
          <w:iCs/>
          <w:color w:val="000000"/>
          <w:lang w:eastAsia="en-US"/>
        </w:rPr>
        <w:t>CO</w:t>
      </w:r>
      <w:r w:rsidR="00F061DB" w:rsidRPr="00114AD7">
        <w:rPr>
          <w:rFonts w:ascii="Times" w:eastAsia="Times New Roman" w:hAnsi="Times" w:cs="Arial"/>
          <w:iCs/>
          <w:color w:val="000000"/>
          <w:vertAlign w:val="subscript"/>
          <w:lang w:eastAsia="en-US"/>
        </w:rPr>
        <w:t>2</w:t>
      </w:r>
      <w:r w:rsidR="00EF7B60" w:rsidRPr="00114AD7">
        <w:rPr>
          <w:rFonts w:ascii="Times" w:eastAsia="Times New Roman" w:hAnsi="Times" w:cs="Arial"/>
          <w:iCs/>
          <w:color w:val="000000"/>
          <w:lang w:eastAsia="en-US"/>
        </w:rPr>
        <w:t>, a clear sign</w:t>
      </w:r>
      <w:r w:rsidR="00F061DB" w:rsidRPr="00114AD7">
        <w:rPr>
          <w:rFonts w:ascii="Times" w:eastAsia="Times New Roman" w:hAnsi="Times" w:cs="Arial"/>
          <w:iCs/>
          <w:color w:val="000000"/>
          <w:lang w:eastAsia="en-US"/>
        </w:rPr>
        <w:t>al</w:t>
      </w:r>
      <w:r w:rsidR="00EF7B60" w:rsidRPr="00114AD7">
        <w:rPr>
          <w:rFonts w:ascii="Times" w:eastAsia="Times New Roman" w:hAnsi="Times" w:cs="Arial"/>
          <w:iCs/>
          <w:color w:val="000000"/>
          <w:lang w:eastAsia="en-US"/>
        </w:rPr>
        <w:t xml:space="preserve"> of oxidative stress during ocean acidification.  A similar pattern was not seen for </w:t>
      </w:r>
      <w:r w:rsidR="002053D6" w:rsidRPr="00114AD7">
        <w:rPr>
          <w:rFonts w:ascii="Times" w:eastAsia="Times New Roman" w:hAnsi="Times" w:cs="Arial"/>
          <w:iCs/>
          <w:color w:val="000000"/>
          <w:lang w:eastAsia="en-US"/>
        </w:rPr>
        <w:t>glutathione S-transferase</w:t>
      </w:r>
      <w:r w:rsidR="00EF7B60" w:rsidRPr="00114AD7">
        <w:rPr>
          <w:rFonts w:ascii="Times" w:eastAsia="Times New Roman" w:hAnsi="Times" w:cs="Arial"/>
          <w:iCs/>
          <w:color w:val="000000"/>
          <w:lang w:eastAsia="en-US"/>
        </w:rPr>
        <w:t xml:space="preserve"> activity, possibly due to the multifunctional nature of GST.  Even though our sample size for the 2800 µatm-exposed oysters was smaller for the GST assay versus the SOD assay (n = 2 and n = 6, respectively), there is not even a trend of increased GST activity at the highest </w:t>
      </w:r>
      <w:r w:rsidR="00EF7B60" w:rsidRPr="00114AD7">
        <w:rPr>
          <w:rFonts w:ascii="Times" w:eastAsia="Times New Roman" w:hAnsi="Times" w:cs="Arial"/>
          <w:i/>
          <w:iCs/>
          <w:color w:val="000000"/>
          <w:lang w:eastAsia="en-US"/>
        </w:rPr>
        <w:t>p</w:t>
      </w:r>
      <w:r w:rsidR="00EF7B60" w:rsidRPr="00114AD7">
        <w:rPr>
          <w:rFonts w:ascii="Times" w:eastAsia="Times New Roman" w:hAnsi="Times" w:cs="Arial"/>
          <w:iCs/>
          <w:color w:val="000000"/>
          <w:lang w:eastAsia="en-US"/>
        </w:rPr>
        <w:t>CO</w:t>
      </w:r>
      <w:r w:rsidR="00EF7B60" w:rsidRPr="00114AD7">
        <w:rPr>
          <w:rFonts w:ascii="Times" w:eastAsia="Times New Roman" w:hAnsi="Times" w:cs="Arial"/>
          <w:iCs/>
          <w:color w:val="000000"/>
          <w:vertAlign w:val="subscript"/>
          <w:lang w:eastAsia="en-US"/>
        </w:rPr>
        <w:t>2</w:t>
      </w:r>
      <w:r w:rsidR="00EF7B60" w:rsidRPr="00114AD7">
        <w:rPr>
          <w:rFonts w:ascii="Times" w:eastAsia="Times New Roman" w:hAnsi="Times" w:cs="Arial"/>
          <w:iCs/>
          <w:color w:val="000000"/>
          <w:lang w:eastAsia="en-US"/>
        </w:rPr>
        <w:t>.  Since SOD responds solely to oxidative stress its up-regulation has a clear interpretation; however, a global activity assay of the different isoforms of GST would encompass some that respond to oxidative stress and some that may respond only to contaminant exposure</w:t>
      </w:r>
      <w:r w:rsidR="008C2481" w:rsidRPr="00114AD7">
        <w:rPr>
          <w:rFonts w:ascii="Times" w:eastAsia="Times New Roman" w:hAnsi="Times" w:cs="Arial"/>
          <w:iCs/>
          <w:color w:val="000000"/>
          <w:lang w:eastAsia="en-US"/>
        </w:rPr>
        <w:t xml:space="preserve"> (and therefore may no</w:t>
      </w:r>
      <w:r w:rsidR="00076011" w:rsidRPr="00114AD7">
        <w:rPr>
          <w:rFonts w:ascii="Times" w:eastAsia="Times New Roman" w:hAnsi="Times" w:cs="Arial"/>
          <w:iCs/>
          <w:color w:val="000000"/>
          <w:lang w:eastAsia="en-US"/>
        </w:rPr>
        <w:t>t</w:t>
      </w:r>
      <w:r w:rsidR="008C2481" w:rsidRPr="00114AD7">
        <w:rPr>
          <w:rFonts w:ascii="Times" w:eastAsia="Times New Roman" w:hAnsi="Times" w:cs="Arial"/>
          <w:iCs/>
          <w:color w:val="000000"/>
          <w:lang w:eastAsia="en-US"/>
        </w:rPr>
        <w:t xml:space="preserve"> change in response to low pH)</w:t>
      </w:r>
      <w:r w:rsidR="00EF7B60" w:rsidRPr="00114AD7">
        <w:rPr>
          <w:rFonts w:ascii="Times" w:eastAsia="Times New Roman" w:hAnsi="Times" w:cs="Arial"/>
          <w:iCs/>
          <w:color w:val="000000"/>
          <w:lang w:eastAsia="en-US"/>
        </w:rPr>
        <w:t>.  Alternatively, SOD and GST may function on different time scales in the oxidative stress response, but this is unlikely given that GST remains up-regulated after exposures to contaminants lasting multiple weeks (</w:t>
      </w:r>
      <w:r w:rsidR="00F061DB" w:rsidRPr="00114AD7">
        <w:rPr>
          <w:rFonts w:ascii="Times" w:eastAsia="Times New Roman" w:hAnsi="Times" w:cs="Arial"/>
          <w:iCs/>
          <w:color w:val="000000"/>
          <w:lang w:eastAsia="en-US"/>
        </w:rPr>
        <w:t>Letendre et al. 2011; Boutet et al. 2004a, 2004b).</w:t>
      </w:r>
    </w:p>
    <w:p w14:paraId="40E60E97" w14:textId="2DA64F34" w:rsidR="00C85C10" w:rsidRPr="00114AD7" w:rsidRDefault="00F061DB" w:rsidP="002053D6">
      <w:pPr>
        <w:spacing w:line="360" w:lineRule="auto"/>
        <w:rPr>
          <w:rFonts w:ascii="Times" w:eastAsia="Times New Roman" w:hAnsi="Times" w:cs="Arial"/>
          <w:iCs/>
          <w:color w:val="000000"/>
          <w:lang w:eastAsia="en-US"/>
        </w:rPr>
      </w:pPr>
      <w:r w:rsidRPr="00114AD7">
        <w:rPr>
          <w:rFonts w:ascii="Times" w:eastAsia="Times New Roman" w:hAnsi="Times" w:cs="Arial"/>
          <w:iCs/>
          <w:color w:val="000000"/>
          <w:lang w:eastAsia="en-US"/>
        </w:rPr>
        <w:tab/>
        <w:t xml:space="preserve">These enzyme activity results further support what other work at the gene and protein expression levels have </w:t>
      </w:r>
      <w:r w:rsidR="002053D6" w:rsidRPr="00114AD7">
        <w:rPr>
          <w:rFonts w:ascii="Times" w:eastAsia="Times New Roman" w:hAnsi="Times" w:cs="Arial"/>
          <w:iCs/>
          <w:color w:val="000000"/>
          <w:lang w:eastAsia="en-US"/>
        </w:rPr>
        <w:t>suggested</w:t>
      </w:r>
      <w:r w:rsidRPr="00114AD7">
        <w:rPr>
          <w:rFonts w:ascii="Times" w:eastAsia="Times New Roman" w:hAnsi="Times" w:cs="Arial"/>
          <w:iCs/>
          <w:color w:val="000000"/>
          <w:lang w:eastAsia="en-US"/>
        </w:rPr>
        <w:t xml:space="preserve">: that exposure to elevated </w:t>
      </w:r>
      <w:r w:rsidRPr="00114AD7">
        <w:rPr>
          <w:rFonts w:ascii="Times" w:eastAsia="Times New Roman" w:hAnsi="Times" w:cs="Arial"/>
          <w:i/>
          <w:iCs/>
          <w:color w:val="000000"/>
          <w:lang w:eastAsia="en-US"/>
        </w:rPr>
        <w:t>p</w:t>
      </w:r>
      <w:r w:rsidRPr="00114AD7">
        <w:rPr>
          <w:rFonts w:ascii="Times" w:eastAsia="Times New Roman" w:hAnsi="Times" w:cs="Arial"/>
          <w:iCs/>
          <w:color w:val="000000"/>
          <w:lang w:eastAsia="en-US"/>
        </w:rPr>
        <w:t>CO</w:t>
      </w:r>
      <w:r w:rsidRPr="00114AD7">
        <w:rPr>
          <w:rFonts w:ascii="Times" w:eastAsia="Times New Roman" w:hAnsi="Times" w:cs="Arial"/>
          <w:iCs/>
          <w:color w:val="000000"/>
          <w:vertAlign w:val="subscript"/>
          <w:lang w:eastAsia="en-US"/>
        </w:rPr>
        <w:t>2</w:t>
      </w:r>
      <w:r w:rsidRPr="00114AD7">
        <w:rPr>
          <w:rFonts w:ascii="Times" w:eastAsia="Times New Roman" w:hAnsi="Times" w:cs="Arial"/>
          <w:iCs/>
          <w:color w:val="000000"/>
          <w:lang w:eastAsia="en-US"/>
        </w:rPr>
        <w:t xml:space="preserve"> triggers production of ROS leading to an up-regulation of the antioxidant response.  Enzyme activity is a definitive measure of this response where gene and protein expression are not because increased</w:t>
      </w:r>
      <w:r w:rsidR="008C2481" w:rsidRPr="00114AD7">
        <w:rPr>
          <w:rFonts w:ascii="Times" w:eastAsia="Times New Roman" w:hAnsi="Times" w:cs="Arial"/>
          <w:iCs/>
          <w:color w:val="000000"/>
          <w:lang w:eastAsia="en-US"/>
        </w:rPr>
        <w:t xml:space="preserve"> gene/protein</w:t>
      </w:r>
      <w:r w:rsidRPr="00114AD7">
        <w:rPr>
          <w:rFonts w:ascii="Times" w:eastAsia="Times New Roman" w:hAnsi="Times" w:cs="Arial"/>
          <w:iCs/>
          <w:color w:val="000000"/>
          <w:lang w:eastAsia="en-US"/>
        </w:rPr>
        <w:t xml:space="preserve"> expression does not mean that a protein is functionally activated.  The exact mechanism of ROS increase remains unknown and future studies should investigate whether elevated </w:t>
      </w:r>
      <w:r w:rsidRPr="00114AD7">
        <w:rPr>
          <w:rFonts w:ascii="Times" w:eastAsia="Times New Roman" w:hAnsi="Times" w:cs="Arial"/>
          <w:i/>
          <w:iCs/>
          <w:color w:val="000000"/>
          <w:lang w:eastAsia="en-US"/>
        </w:rPr>
        <w:t>p</w:t>
      </w:r>
      <w:r w:rsidRPr="00114AD7">
        <w:rPr>
          <w:rFonts w:ascii="Times" w:eastAsia="Times New Roman" w:hAnsi="Times" w:cs="Arial"/>
          <w:iCs/>
          <w:color w:val="000000"/>
          <w:lang w:eastAsia="en-US"/>
        </w:rPr>
        <w:t>CO</w:t>
      </w:r>
      <w:r w:rsidRPr="00114AD7">
        <w:rPr>
          <w:rFonts w:ascii="Times" w:eastAsia="Times New Roman" w:hAnsi="Times" w:cs="Arial"/>
          <w:iCs/>
          <w:color w:val="000000"/>
          <w:vertAlign w:val="subscript"/>
          <w:lang w:eastAsia="en-US"/>
        </w:rPr>
        <w:t>2</w:t>
      </w:r>
      <w:r w:rsidRPr="00114AD7">
        <w:rPr>
          <w:rFonts w:ascii="Times" w:eastAsia="Times New Roman" w:hAnsi="Times" w:cs="Arial"/>
          <w:iCs/>
          <w:color w:val="000000"/>
          <w:lang w:eastAsia="en-US"/>
        </w:rPr>
        <w:t xml:space="preserve"> and subsequent increased H</w:t>
      </w:r>
      <w:r w:rsidRPr="00114AD7">
        <w:rPr>
          <w:rFonts w:ascii="Times" w:eastAsia="Times New Roman" w:hAnsi="Times" w:cs="Arial"/>
          <w:iCs/>
          <w:color w:val="000000"/>
          <w:vertAlign w:val="superscript"/>
          <w:lang w:eastAsia="en-US"/>
        </w:rPr>
        <w:t xml:space="preserve">+ </w:t>
      </w:r>
      <w:r w:rsidRPr="00114AD7">
        <w:rPr>
          <w:rFonts w:ascii="Times" w:eastAsia="Times New Roman" w:hAnsi="Times" w:cs="Arial"/>
          <w:iCs/>
          <w:color w:val="000000"/>
          <w:lang w:eastAsia="en-US"/>
        </w:rPr>
        <w:t xml:space="preserve">concentrations are direct causes of oxidative stress or if the stress indirectly stimulates ROS production through elevated oxidative metabolism.  It is also of interest that the moderate </w:t>
      </w:r>
      <w:r w:rsidRPr="00114AD7">
        <w:rPr>
          <w:rFonts w:ascii="Times" w:eastAsia="Times New Roman" w:hAnsi="Times" w:cs="Arial"/>
          <w:i/>
          <w:iCs/>
          <w:color w:val="000000"/>
          <w:lang w:eastAsia="en-US"/>
        </w:rPr>
        <w:t>p</w:t>
      </w:r>
      <w:r w:rsidRPr="00114AD7">
        <w:rPr>
          <w:rFonts w:ascii="Times" w:eastAsia="Times New Roman" w:hAnsi="Times" w:cs="Arial"/>
          <w:iCs/>
          <w:color w:val="000000"/>
          <w:lang w:eastAsia="en-US"/>
        </w:rPr>
        <w:t>CO</w:t>
      </w:r>
      <w:r w:rsidRPr="00114AD7">
        <w:rPr>
          <w:rFonts w:ascii="Times" w:eastAsia="Times New Roman" w:hAnsi="Times" w:cs="Arial"/>
          <w:iCs/>
          <w:color w:val="000000"/>
          <w:vertAlign w:val="subscript"/>
          <w:lang w:eastAsia="en-US"/>
        </w:rPr>
        <w:t>2</w:t>
      </w:r>
      <w:r w:rsidRPr="00114AD7">
        <w:rPr>
          <w:rFonts w:ascii="Times" w:eastAsia="Times New Roman" w:hAnsi="Times" w:cs="Arial"/>
          <w:iCs/>
          <w:color w:val="000000"/>
          <w:lang w:eastAsia="en-US"/>
        </w:rPr>
        <w:t xml:space="preserve"> of 10</w:t>
      </w:r>
      <w:r w:rsidR="008C2481" w:rsidRPr="00114AD7">
        <w:rPr>
          <w:rFonts w:ascii="Times" w:eastAsia="Times New Roman" w:hAnsi="Times" w:cs="Arial"/>
          <w:iCs/>
          <w:color w:val="000000"/>
          <w:lang w:eastAsia="en-US"/>
        </w:rPr>
        <w:t>0</w:t>
      </w:r>
      <w:r w:rsidRPr="00114AD7">
        <w:rPr>
          <w:rFonts w:ascii="Times" w:eastAsia="Times New Roman" w:hAnsi="Times" w:cs="Arial"/>
          <w:iCs/>
          <w:color w:val="000000"/>
          <w:lang w:eastAsia="en-US"/>
        </w:rPr>
        <w:t xml:space="preserve">0 µatm does not cause even a slight elevation of antioxidant enzyme activity.  This finding may illustrate a tolerance of </w:t>
      </w:r>
      <w:r w:rsidRPr="00114AD7">
        <w:rPr>
          <w:rFonts w:ascii="Times" w:eastAsia="Times New Roman" w:hAnsi="Times" w:cs="Arial"/>
          <w:i/>
          <w:iCs/>
          <w:color w:val="000000"/>
          <w:lang w:eastAsia="en-US"/>
        </w:rPr>
        <w:t xml:space="preserve">C. gigas </w:t>
      </w:r>
      <w:r w:rsidRPr="00114AD7">
        <w:rPr>
          <w:rFonts w:ascii="Times" w:eastAsia="Times New Roman" w:hAnsi="Times" w:cs="Arial"/>
          <w:iCs/>
          <w:color w:val="000000"/>
          <w:lang w:eastAsia="en-US"/>
        </w:rPr>
        <w:t xml:space="preserve">to moderately elevated </w:t>
      </w:r>
      <w:r w:rsidRPr="00114AD7">
        <w:rPr>
          <w:rFonts w:ascii="Times" w:eastAsia="Times New Roman" w:hAnsi="Times" w:cs="Arial"/>
          <w:i/>
          <w:iCs/>
          <w:color w:val="000000"/>
          <w:lang w:eastAsia="en-US"/>
        </w:rPr>
        <w:t>p</w:t>
      </w:r>
      <w:r w:rsidRPr="00114AD7">
        <w:rPr>
          <w:rFonts w:ascii="Times" w:eastAsia="Times New Roman" w:hAnsi="Times" w:cs="Arial"/>
          <w:iCs/>
          <w:color w:val="000000"/>
          <w:lang w:eastAsia="en-US"/>
        </w:rPr>
        <w:t>CO</w:t>
      </w:r>
      <w:r w:rsidRPr="00114AD7">
        <w:rPr>
          <w:rFonts w:ascii="Times" w:eastAsia="Times New Roman" w:hAnsi="Times" w:cs="Arial"/>
          <w:iCs/>
          <w:color w:val="000000"/>
          <w:vertAlign w:val="subscript"/>
          <w:lang w:eastAsia="en-US"/>
        </w:rPr>
        <w:t>2</w:t>
      </w:r>
      <w:r w:rsidRPr="00114AD7">
        <w:rPr>
          <w:rFonts w:ascii="Times" w:eastAsia="Times New Roman" w:hAnsi="Times" w:cs="Arial"/>
          <w:iCs/>
          <w:color w:val="000000"/>
          <w:lang w:eastAsia="en-US"/>
        </w:rPr>
        <w:t xml:space="preserve">, which </w:t>
      </w:r>
      <w:r w:rsidR="002053D6" w:rsidRPr="00114AD7">
        <w:rPr>
          <w:rFonts w:ascii="Times" w:eastAsia="Times New Roman" w:hAnsi="Times" w:cs="Arial"/>
          <w:iCs/>
          <w:color w:val="000000"/>
          <w:lang w:eastAsia="en-US"/>
        </w:rPr>
        <w:t>is consistent with a species that inhabits the intertidal zone where there are frequent fluctuations in pH.</w:t>
      </w:r>
    </w:p>
    <w:p w14:paraId="2CC0EDB5" w14:textId="3332FE48" w:rsidR="00076011" w:rsidRPr="007969FC" w:rsidRDefault="00076011" w:rsidP="002053D6">
      <w:pPr>
        <w:spacing w:line="360" w:lineRule="auto"/>
        <w:rPr>
          <w:rFonts w:ascii="Times" w:eastAsia="Times New Roman" w:hAnsi="Times" w:cs="Arial"/>
          <w:iCs/>
          <w:color w:val="000000"/>
          <w:lang w:eastAsia="en-US"/>
        </w:rPr>
      </w:pPr>
      <w:r w:rsidRPr="00114AD7">
        <w:rPr>
          <w:rFonts w:ascii="Times" w:eastAsia="Times New Roman" w:hAnsi="Times" w:cs="Arial"/>
          <w:iCs/>
          <w:color w:val="000000"/>
          <w:lang w:eastAsia="en-US"/>
        </w:rPr>
        <w:tab/>
        <w:t>Increased oxidative stress followed by greater levels of antioxidant genes/proteins/enzymes is a common response of intertidal invertebrates to decreased pH.</w:t>
      </w:r>
      <w:r w:rsidR="002170A6" w:rsidRPr="00114AD7">
        <w:rPr>
          <w:rFonts w:ascii="Times" w:eastAsia="Times New Roman" w:hAnsi="Times" w:cs="Arial"/>
          <w:iCs/>
          <w:color w:val="000000"/>
          <w:lang w:eastAsia="en-US"/>
        </w:rPr>
        <w:t xml:space="preserve">  An up-regulated antioxidant</w:t>
      </w:r>
      <w:r w:rsidR="00AE3E08" w:rsidRPr="00114AD7">
        <w:rPr>
          <w:rFonts w:ascii="Times" w:eastAsia="Times New Roman" w:hAnsi="Times" w:cs="Arial"/>
          <w:iCs/>
          <w:color w:val="000000"/>
          <w:lang w:eastAsia="en-US"/>
        </w:rPr>
        <w:t xml:space="preserve"> enzyme </w:t>
      </w:r>
      <w:r w:rsidR="002170A6" w:rsidRPr="00114AD7">
        <w:rPr>
          <w:rFonts w:ascii="Times" w:eastAsia="Times New Roman" w:hAnsi="Times" w:cs="Arial"/>
          <w:iCs/>
          <w:color w:val="000000"/>
          <w:lang w:eastAsia="en-US"/>
        </w:rPr>
        <w:t>response has been linked to greater</w:t>
      </w:r>
      <w:r w:rsidR="00AE3E08" w:rsidRPr="00114AD7">
        <w:rPr>
          <w:rFonts w:ascii="Times" w:eastAsia="Times New Roman" w:hAnsi="Times" w:cs="Arial"/>
          <w:iCs/>
          <w:color w:val="000000"/>
          <w:lang w:eastAsia="en-US"/>
        </w:rPr>
        <w:t xml:space="preserve"> periods of tidal emersion (Letendre et al. 2009</w:t>
      </w:r>
      <w:r w:rsidR="002170A6" w:rsidRPr="00114AD7">
        <w:rPr>
          <w:rFonts w:ascii="Times" w:eastAsia="Times New Roman" w:hAnsi="Times" w:cs="Arial"/>
          <w:iCs/>
          <w:color w:val="000000"/>
          <w:lang w:eastAsia="en-US"/>
        </w:rPr>
        <w:t>), suggesting that ROS production increases</w:t>
      </w:r>
      <w:r w:rsidR="00AE3E08" w:rsidRPr="00114AD7">
        <w:rPr>
          <w:rFonts w:ascii="Times" w:eastAsia="Times New Roman" w:hAnsi="Times" w:cs="Arial"/>
          <w:iCs/>
          <w:color w:val="000000"/>
          <w:lang w:eastAsia="en-US"/>
        </w:rPr>
        <w:t xml:space="preserve"> either</w:t>
      </w:r>
      <w:r w:rsidR="002170A6" w:rsidRPr="00114AD7">
        <w:rPr>
          <w:rFonts w:ascii="Times" w:eastAsia="Times New Roman" w:hAnsi="Times" w:cs="Arial"/>
          <w:iCs/>
          <w:color w:val="000000"/>
          <w:lang w:eastAsia="en-US"/>
        </w:rPr>
        <w:t xml:space="preserve"> during emersion </w:t>
      </w:r>
      <w:r w:rsidR="00CF48FE" w:rsidRPr="00114AD7">
        <w:rPr>
          <w:rFonts w:ascii="Times" w:eastAsia="Times New Roman" w:hAnsi="Times" w:cs="Arial"/>
          <w:iCs/>
          <w:color w:val="000000"/>
          <w:lang w:eastAsia="en-US"/>
        </w:rPr>
        <w:t>or during oxidative burst</w:t>
      </w:r>
      <w:r w:rsidR="00AE3E08" w:rsidRPr="00114AD7">
        <w:rPr>
          <w:rFonts w:ascii="Times" w:eastAsia="Times New Roman" w:hAnsi="Times" w:cs="Arial"/>
          <w:iCs/>
          <w:color w:val="000000"/>
          <w:lang w:eastAsia="en-US"/>
        </w:rPr>
        <w:t xml:space="preserve"> with re-immersion </w:t>
      </w:r>
      <w:r w:rsidR="002170A6" w:rsidRPr="00114AD7">
        <w:rPr>
          <w:rFonts w:ascii="Times" w:eastAsia="Times New Roman" w:hAnsi="Times" w:cs="Arial"/>
          <w:iCs/>
          <w:color w:val="000000"/>
          <w:lang w:eastAsia="en-US"/>
        </w:rPr>
        <w:t>and that bivalves have well established antioxidant pathways to respond to this physiological change.</w:t>
      </w:r>
      <w:r w:rsidR="000A4A95" w:rsidRPr="00114AD7">
        <w:rPr>
          <w:rFonts w:ascii="Times" w:eastAsia="Times New Roman" w:hAnsi="Times" w:cs="Arial"/>
          <w:iCs/>
          <w:color w:val="000000"/>
          <w:lang w:eastAsia="en-US"/>
        </w:rPr>
        <w:t xml:space="preserve">  During tidal e</w:t>
      </w:r>
      <w:r w:rsidR="00434492" w:rsidRPr="00114AD7">
        <w:rPr>
          <w:rFonts w:ascii="Times" w:eastAsia="Times New Roman" w:hAnsi="Times" w:cs="Arial"/>
          <w:iCs/>
          <w:color w:val="000000"/>
          <w:lang w:eastAsia="en-US"/>
        </w:rPr>
        <w:t>mersion, many intertidal organisms experience decreased body fluid pH due to build up of CO</w:t>
      </w:r>
      <w:r w:rsidR="00434492" w:rsidRPr="00114AD7">
        <w:rPr>
          <w:rFonts w:ascii="Times" w:eastAsia="Times New Roman" w:hAnsi="Times" w:cs="Arial"/>
          <w:iCs/>
          <w:color w:val="000000"/>
          <w:vertAlign w:val="subscript"/>
          <w:lang w:eastAsia="en-US"/>
        </w:rPr>
        <w:t>2</w:t>
      </w:r>
      <w:r w:rsidR="00434492" w:rsidRPr="00114AD7">
        <w:rPr>
          <w:rFonts w:ascii="Times" w:eastAsia="Times New Roman" w:hAnsi="Times" w:cs="Arial"/>
          <w:iCs/>
          <w:color w:val="000000"/>
          <w:lang w:eastAsia="en-US"/>
        </w:rPr>
        <w:t xml:space="preserve"> from respiration during valve closure</w:t>
      </w:r>
      <w:r w:rsidR="000A4A95" w:rsidRPr="00114AD7">
        <w:rPr>
          <w:rFonts w:ascii="Times" w:eastAsia="Times New Roman" w:hAnsi="Times" w:cs="Arial"/>
          <w:iCs/>
          <w:color w:val="000000"/>
          <w:lang w:eastAsia="en-US"/>
        </w:rPr>
        <w:t xml:space="preserve"> (</w:t>
      </w:r>
      <w:r w:rsidR="00643660" w:rsidRPr="00114AD7">
        <w:rPr>
          <w:rFonts w:ascii="Times" w:eastAsia="Times New Roman" w:hAnsi="Times" w:cs="Arial"/>
          <w:iCs/>
          <w:color w:val="000000"/>
          <w:lang w:eastAsia="en-US"/>
        </w:rPr>
        <w:t xml:space="preserve">Jokumsen and Gyhn 1982; </w:t>
      </w:r>
      <w:r w:rsidR="000A4A95" w:rsidRPr="00114AD7">
        <w:rPr>
          <w:rFonts w:ascii="Times" w:eastAsia="Times New Roman" w:hAnsi="Times" w:cs="Arial"/>
          <w:iCs/>
          <w:color w:val="000000"/>
          <w:lang w:eastAsia="en-US"/>
        </w:rPr>
        <w:t>Duncan et al. 1994)</w:t>
      </w:r>
      <w:r w:rsidR="00434492" w:rsidRPr="00114AD7">
        <w:rPr>
          <w:rFonts w:ascii="Times" w:eastAsia="Times New Roman" w:hAnsi="Times" w:cs="Arial"/>
          <w:iCs/>
          <w:color w:val="000000"/>
          <w:lang w:eastAsia="en-US"/>
        </w:rPr>
        <w:t xml:space="preserve">.  </w:t>
      </w:r>
      <w:r w:rsidR="00643660" w:rsidRPr="00114AD7">
        <w:rPr>
          <w:rFonts w:ascii="Times" w:eastAsia="Times New Roman" w:hAnsi="Times" w:cs="Arial"/>
          <w:iCs/>
          <w:color w:val="000000"/>
          <w:lang w:eastAsia="en-US"/>
        </w:rPr>
        <w:t>Similarly, decrease</w:t>
      </w:r>
      <w:r w:rsidR="00AE3E08" w:rsidRPr="00114AD7">
        <w:rPr>
          <w:rFonts w:ascii="Times" w:eastAsia="Times New Roman" w:hAnsi="Times" w:cs="Arial"/>
          <w:iCs/>
          <w:color w:val="000000"/>
          <w:lang w:eastAsia="en-US"/>
        </w:rPr>
        <w:t>d environmental pH causes a concomitant decrease</w:t>
      </w:r>
      <w:r w:rsidR="00643660" w:rsidRPr="00114AD7">
        <w:rPr>
          <w:rFonts w:ascii="Times" w:eastAsia="Times New Roman" w:hAnsi="Times" w:cs="Arial"/>
          <w:iCs/>
          <w:color w:val="000000"/>
          <w:lang w:eastAsia="en-US"/>
        </w:rPr>
        <w:t xml:space="preserve"> in </w:t>
      </w:r>
      <w:r w:rsidR="00AE3E08" w:rsidRPr="00114AD7">
        <w:rPr>
          <w:rFonts w:ascii="Times" w:eastAsia="Times New Roman" w:hAnsi="Times" w:cs="Arial"/>
          <w:iCs/>
          <w:color w:val="000000"/>
          <w:lang w:eastAsia="en-US"/>
        </w:rPr>
        <w:t xml:space="preserve">bivalve hemolymph pH </w:t>
      </w:r>
      <w:r w:rsidR="007969FC" w:rsidRPr="00114AD7">
        <w:rPr>
          <w:rFonts w:ascii="Times" w:eastAsia="Times New Roman" w:hAnsi="Times" w:cs="Arial"/>
          <w:iCs/>
          <w:color w:val="000000"/>
          <w:lang w:eastAsia="en-US"/>
        </w:rPr>
        <w:t>(</w:t>
      </w:r>
      <w:r w:rsidR="00AE3E08" w:rsidRPr="00114AD7">
        <w:rPr>
          <w:rFonts w:ascii="Times" w:eastAsia="Times New Roman" w:hAnsi="Times" w:cs="Arial"/>
          <w:iCs/>
          <w:color w:val="000000"/>
          <w:lang w:eastAsia="en-US"/>
        </w:rPr>
        <w:t xml:space="preserve">e.g. </w:t>
      </w:r>
      <w:r w:rsidR="00130429" w:rsidRPr="00114AD7">
        <w:rPr>
          <w:rFonts w:ascii="Times" w:eastAsia="Times New Roman" w:hAnsi="Times" w:cs="Arial"/>
          <w:iCs/>
          <w:color w:val="000000"/>
          <w:lang w:eastAsia="en-US"/>
        </w:rPr>
        <w:t>Thomsen et al. 2013</w:t>
      </w:r>
      <w:r w:rsidR="007969FC" w:rsidRPr="00114AD7">
        <w:rPr>
          <w:rFonts w:ascii="Times" w:eastAsia="Times New Roman" w:hAnsi="Times" w:cs="Arial"/>
          <w:iCs/>
          <w:color w:val="000000"/>
          <w:lang w:eastAsia="en-US"/>
        </w:rPr>
        <w:t xml:space="preserve">).  Although the exact mechanism behind the production of ROS during exposure to elevated </w:t>
      </w:r>
      <w:r w:rsidR="007969FC" w:rsidRPr="00114AD7">
        <w:rPr>
          <w:rFonts w:ascii="Times" w:eastAsia="Times New Roman" w:hAnsi="Times" w:cs="Arial"/>
          <w:i/>
          <w:iCs/>
          <w:color w:val="000000"/>
          <w:lang w:eastAsia="en-US"/>
        </w:rPr>
        <w:t>p</w:t>
      </w:r>
      <w:r w:rsidR="007969FC" w:rsidRPr="00114AD7">
        <w:rPr>
          <w:rFonts w:ascii="Times" w:eastAsia="Times New Roman" w:hAnsi="Times" w:cs="Arial"/>
          <w:iCs/>
          <w:color w:val="000000"/>
          <w:lang w:eastAsia="en-US"/>
        </w:rPr>
        <w:t>CO</w:t>
      </w:r>
      <w:r w:rsidR="007969FC" w:rsidRPr="00114AD7">
        <w:rPr>
          <w:rFonts w:ascii="Times" w:eastAsia="Times New Roman" w:hAnsi="Times" w:cs="Arial"/>
          <w:iCs/>
          <w:color w:val="000000"/>
          <w:vertAlign w:val="subscript"/>
          <w:lang w:eastAsia="en-US"/>
        </w:rPr>
        <w:t>2</w:t>
      </w:r>
      <w:r w:rsidR="007969FC" w:rsidRPr="00114AD7">
        <w:rPr>
          <w:rFonts w:ascii="Times" w:eastAsia="Times New Roman" w:hAnsi="Times" w:cs="Arial"/>
          <w:iCs/>
          <w:color w:val="000000"/>
          <w:lang w:eastAsia="en-US"/>
        </w:rPr>
        <w:t xml:space="preserve"> is unknown (e.g. Tomanek et al. 2011), a growing body of literature has linked the antioxidant response (and thereby ROS production) with decreased environmental pH (Todgham and Hofmann 2009; Tomanek et al. 2011; Matozzo et al. 2013).  </w:t>
      </w:r>
      <w:r w:rsidR="00AE3E08" w:rsidRPr="00114AD7">
        <w:rPr>
          <w:rFonts w:ascii="Times" w:eastAsia="Times New Roman" w:hAnsi="Times" w:cs="Arial"/>
          <w:iCs/>
          <w:color w:val="000000"/>
          <w:lang w:eastAsia="en-US"/>
        </w:rPr>
        <w:t>The decrease in</w:t>
      </w:r>
      <w:r w:rsidR="007969FC" w:rsidRPr="00114AD7">
        <w:rPr>
          <w:rFonts w:ascii="Times" w:eastAsia="Times New Roman" w:hAnsi="Times" w:cs="Arial"/>
          <w:iCs/>
          <w:color w:val="000000"/>
          <w:lang w:eastAsia="en-US"/>
        </w:rPr>
        <w:t xml:space="preserve"> hemolymph pH </w:t>
      </w:r>
      <w:r w:rsidR="00AE3E08" w:rsidRPr="00114AD7">
        <w:rPr>
          <w:rFonts w:ascii="Times" w:eastAsia="Times New Roman" w:hAnsi="Times" w:cs="Arial"/>
          <w:iCs/>
          <w:color w:val="000000"/>
          <w:lang w:eastAsia="en-US"/>
        </w:rPr>
        <w:t>likely impacts</w:t>
      </w:r>
      <w:r w:rsidR="007969FC" w:rsidRPr="00114AD7">
        <w:rPr>
          <w:rFonts w:ascii="Times" w:eastAsia="Times New Roman" w:hAnsi="Times" w:cs="Arial"/>
          <w:iCs/>
          <w:color w:val="000000"/>
          <w:lang w:eastAsia="en-US"/>
        </w:rPr>
        <w:t xml:space="preserve"> mitochondrial activity</w:t>
      </w:r>
      <w:r w:rsidR="00130429" w:rsidRPr="00114AD7">
        <w:rPr>
          <w:rFonts w:ascii="Times" w:eastAsia="Times New Roman" w:hAnsi="Times" w:cs="Arial"/>
          <w:iCs/>
          <w:color w:val="000000"/>
          <w:lang w:eastAsia="en-US"/>
        </w:rPr>
        <w:t xml:space="preserve"> - where ROS are produced in </w:t>
      </w:r>
      <w:r w:rsidR="00130429" w:rsidRPr="00114AD7">
        <w:rPr>
          <w:rFonts w:ascii="Times" w:eastAsia="Times New Roman" w:hAnsi="Times" w:cs="Arial"/>
          <w:i/>
          <w:iCs/>
          <w:color w:val="000000"/>
          <w:lang w:eastAsia="en-US"/>
        </w:rPr>
        <w:t>C. gigas</w:t>
      </w:r>
      <w:r w:rsidR="00130429" w:rsidRPr="00114AD7">
        <w:rPr>
          <w:rFonts w:ascii="Times" w:eastAsia="Times New Roman" w:hAnsi="Times" w:cs="Arial"/>
          <w:iCs/>
          <w:color w:val="000000"/>
          <w:lang w:eastAsia="en-US"/>
        </w:rPr>
        <w:t xml:space="preserve"> (Donaghy et al. 2013) - either directly or indirectly through stimulating metabolism</w:t>
      </w:r>
      <w:r w:rsidR="007969FC" w:rsidRPr="00114AD7">
        <w:rPr>
          <w:rFonts w:ascii="Times" w:eastAsia="Times New Roman" w:hAnsi="Times" w:cs="Arial"/>
          <w:iCs/>
          <w:color w:val="000000"/>
          <w:lang w:eastAsia="en-US"/>
        </w:rPr>
        <w:t>.</w:t>
      </w:r>
      <w:r w:rsidR="00130429" w:rsidRPr="00114AD7">
        <w:rPr>
          <w:rFonts w:ascii="Times" w:eastAsia="Times New Roman" w:hAnsi="Times" w:cs="Arial"/>
          <w:iCs/>
          <w:color w:val="000000"/>
          <w:lang w:eastAsia="en-US"/>
        </w:rPr>
        <w:t xml:space="preserve">  Bivalves are able to efficiently respond to the oxidative stress resulting from ocean acidification due to an evolutionary history of exposure to environmental extremes in the intertidal.</w:t>
      </w:r>
    </w:p>
    <w:p w14:paraId="061220E5" w14:textId="77777777" w:rsidR="00CB5AAE" w:rsidRDefault="00CB5AAE" w:rsidP="002053D6">
      <w:pPr>
        <w:spacing w:line="360" w:lineRule="auto"/>
        <w:rPr>
          <w:rFonts w:ascii="Times" w:eastAsia="Times New Roman" w:hAnsi="Times" w:cs="Arial"/>
          <w:iCs/>
          <w:color w:val="000000"/>
          <w:lang w:eastAsia="en-US"/>
        </w:rPr>
      </w:pPr>
    </w:p>
    <w:p w14:paraId="24341917" w14:textId="65319202" w:rsidR="007245FE" w:rsidRDefault="007245FE" w:rsidP="00CB5AAE">
      <w:pPr>
        <w:pStyle w:val="Heading2"/>
        <w:rPr>
          <w:lang w:eastAsia="en-US"/>
        </w:rPr>
      </w:pPr>
      <w:bookmarkStart w:id="102" w:name="_Toc257278844"/>
      <w:r>
        <w:rPr>
          <w:lang w:eastAsia="en-US"/>
        </w:rPr>
        <w:t>Figures</w:t>
      </w:r>
      <w:bookmarkEnd w:id="102"/>
    </w:p>
    <w:p w14:paraId="7DB35E32" w14:textId="55E78D23" w:rsidR="007245FE" w:rsidRDefault="007245FE" w:rsidP="007245FE">
      <w:r>
        <w:rPr>
          <w:rFonts w:ascii="Times" w:hAnsi="Times"/>
          <w:noProof/>
          <w:lang w:eastAsia="en-US"/>
        </w:rPr>
        <w:drawing>
          <wp:inline distT="0" distB="0" distL="0" distR="0" wp14:anchorId="2F1E4AF6" wp14:editId="382E91A4">
            <wp:extent cx="4384040" cy="4384040"/>
            <wp:effectExtent l="0" t="0" r="1016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 pCO2 only.jpg"/>
                    <pic:cNvPicPr/>
                  </pic:nvPicPr>
                  <pic:blipFill>
                    <a:blip r:embed="rId37">
                      <a:extLst>
                        <a:ext uri="{28A0092B-C50C-407E-A947-70E740481C1C}">
                          <a14:useLocalDpi xmlns:a14="http://schemas.microsoft.com/office/drawing/2010/main" val="0"/>
                        </a:ext>
                      </a:extLst>
                    </a:blip>
                    <a:stretch>
                      <a:fillRect/>
                    </a:stretch>
                  </pic:blipFill>
                  <pic:spPr>
                    <a:xfrm>
                      <a:off x="0" y="0"/>
                      <a:ext cx="4384040" cy="4384040"/>
                    </a:xfrm>
                    <a:prstGeom prst="rect">
                      <a:avLst/>
                    </a:prstGeom>
                  </pic:spPr>
                </pic:pic>
              </a:graphicData>
            </a:graphic>
          </wp:inline>
        </w:drawing>
      </w:r>
    </w:p>
    <w:p w14:paraId="1FB05186" w14:textId="77777777" w:rsidR="007245FE" w:rsidRDefault="007245FE" w:rsidP="007245FE">
      <w:pPr>
        <w:spacing w:line="360" w:lineRule="auto"/>
      </w:pPr>
      <w:r>
        <w:rPr>
          <w:rFonts w:ascii="Times" w:hAnsi="Times"/>
        </w:rPr>
        <w:t>Figure AppA.1</w:t>
      </w:r>
      <w:r w:rsidRPr="00F451C2">
        <w:rPr>
          <w:rFonts w:ascii="Arial" w:eastAsia="Times New Roman" w:hAnsi="Arial" w:cs="Arial"/>
          <w:i/>
          <w:iCs/>
          <w:color w:val="000000"/>
          <w:sz w:val="23"/>
          <w:szCs w:val="23"/>
          <w:lang w:eastAsia="en-US"/>
        </w:rPr>
        <w:t xml:space="preserve">. </w:t>
      </w:r>
      <w:r w:rsidRPr="00F451C2">
        <w:rPr>
          <w:rFonts w:ascii="Times" w:eastAsia="Times New Roman" w:hAnsi="Times" w:cs="Arial"/>
          <w:iCs/>
          <w:color w:val="000000"/>
          <w:lang w:eastAsia="en-US"/>
        </w:rPr>
        <w:t>Mean GST activity per treatment with 95% confidence intervals.  There is no statistical difference among the treatments.</w:t>
      </w:r>
    </w:p>
    <w:p w14:paraId="59AEBDB3" w14:textId="59598D13" w:rsidR="007245FE" w:rsidRDefault="007245FE" w:rsidP="007245FE">
      <w:r>
        <w:rPr>
          <w:rFonts w:ascii="Times" w:hAnsi="Times" w:cs="Times New Roman"/>
          <w:noProof/>
          <w:lang w:eastAsia="en-US"/>
        </w:rPr>
        <w:drawing>
          <wp:inline distT="0" distB="0" distL="0" distR="0" wp14:anchorId="5B8604C4" wp14:editId="3F71BE80">
            <wp:extent cx="4394835" cy="4394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 pCO2 only.jpg"/>
                    <pic:cNvPicPr/>
                  </pic:nvPicPr>
                  <pic:blipFill>
                    <a:blip r:embed="rId38">
                      <a:extLst>
                        <a:ext uri="{28A0092B-C50C-407E-A947-70E740481C1C}">
                          <a14:useLocalDpi xmlns:a14="http://schemas.microsoft.com/office/drawing/2010/main" val="0"/>
                        </a:ext>
                      </a:extLst>
                    </a:blip>
                    <a:stretch>
                      <a:fillRect/>
                    </a:stretch>
                  </pic:blipFill>
                  <pic:spPr>
                    <a:xfrm>
                      <a:off x="0" y="0"/>
                      <a:ext cx="4394835" cy="4394835"/>
                    </a:xfrm>
                    <a:prstGeom prst="rect">
                      <a:avLst/>
                    </a:prstGeom>
                  </pic:spPr>
                </pic:pic>
              </a:graphicData>
            </a:graphic>
          </wp:inline>
        </w:drawing>
      </w:r>
    </w:p>
    <w:p w14:paraId="623A2163" w14:textId="77777777" w:rsidR="007245FE" w:rsidRPr="00F451C2" w:rsidRDefault="007245FE" w:rsidP="007245FE">
      <w:pPr>
        <w:spacing w:line="360" w:lineRule="auto"/>
        <w:rPr>
          <w:rFonts w:ascii="Times" w:eastAsia="Times New Roman" w:hAnsi="Times" w:cs="Times New Roman"/>
          <w:lang w:eastAsia="en-US"/>
        </w:rPr>
      </w:pPr>
      <w:r>
        <w:rPr>
          <w:rFonts w:ascii="Times" w:hAnsi="Times" w:cs="Times New Roman"/>
          <w:lang w:eastAsia="en-US"/>
        </w:rPr>
        <w:t xml:space="preserve">Figure AppA.2. </w:t>
      </w:r>
      <w:r w:rsidRPr="00F451C2">
        <w:rPr>
          <w:rFonts w:ascii="Times" w:eastAsia="Times New Roman" w:hAnsi="Times" w:cs="Arial"/>
          <w:iCs/>
          <w:color w:val="000000"/>
          <w:lang w:eastAsia="en-US"/>
        </w:rPr>
        <w:t>Mean units of SOD per mg of tissue with 95% confidence intervals for each treatmen</w:t>
      </w:r>
      <w:r>
        <w:rPr>
          <w:rFonts w:ascii="Times" w:eastAsia="Times New Roman" w:hAnsi="Times" w:cs="Arial"/>
          <w:iCs/>
          <w:color w:val="000000"/>
          <w:lang w:eastAsia="en-US"/>
        </w:rPr>
        <w:t xml:space="preserve">t.  SOD activities in 2800 µatm-exposed oysters </w:t>
      </w:r>
      <w:r w:rsidRPr="00F451C2">
        <w:rPr>
          <w:rFonts w:ascii="Times" w:eastAsia="Times New Roman" w:hAnsi="Times" w:cs="Arial"/>
          <w:iCs/>
          <w:color w:val="000000"/>
          <w:lang w:eastAsia="en-US"/>
        </w:rPr>
        <w:t xml:space="preserve">are statistically different from those </w:t>
      </w:r>
      <w:r>
        <w:rPr>
          <w:rFonts w:ascii="Times" w:eastAsia="Times New Roman" w:hAnsi="Times" w:cs="Arial"/>
          <w:iCs/>
          <w:color w:val="000000"/>
          <w:lang w:eastAsia="en-US"/>
        </w:rPr>
        <w:t>at</w:t>
      </w:r>
      <w:r w:rsidRPr="00F451C2">
        <w:rPr>
          <w:rFonts w:ascii="Times" w:eastAsia="Times New Roman" w:hAnsi="Times" w:cs="Arial"/>
          <w:iCs/>
          <w:color w:val="000000"/>
          <w:lang w:eastAsia="en-US"/>
        </w:rPr>
        <w:t xml:space="preserve"> 400 and 1000 µatm.</w:t>
      </w:r>
    </w:p>
    <w:p w14:paraId="600606A7" w14:textId="77777777" w:rsidR="007245FE" w:rsidRPr="007245FE" w:rsidRDefault="007245FE" w:rsidP="007245FE"/>
    <w:p w14:paraId="00849B88" w14:textId="50929F7A" w:rsidR="00CB5AAE" w:rsidRDefault="00CB5AAE" w:rsidP="00CB5AAE">
      <w:pPr>
        <w:pStyle w:val="Heading2"/>
        <w:rPr>
          <w:lang w:eastAsia="en-US"/>
        </w:rPr>
      </w:pPr>
      <w:bookmarkStart w:id="103" w:name="_Toc257278845"/>
      <w:r>
        <w:rPr>
          <w:lang w:eastAsia="en-US"/>
        </w:rPr>
        <w:t>Supplementary Information</w:t>
      </w:r>
      <w:bookmarkEnd w:id="103"/>
    </w:p>
    <w:p w14:paraId="7A4F5591" w14:textId="36D6743E" w:rsidR="00CB5AAE" w:rsidRDefault="00CB5AAE" w:rsidP="002053D6">
      <w:pPr>
        <w:spacing w:line="360" w:lineRule="auto"/>
        <w:rPr>
          <w:rFonts w:ascii="Times" w:eastAsia="Times New Roman" w:hAnsi="Times" w:cs="Arial"/>
          <w:iCs/>
          <w:color w:val="000000"/>
          <w:lang w:eastAsia="en-US"/>
        </w:rPr>
      </w:pPr>
      <w:r>
        <w:rPr>
          <w:rFonts w:ascii="Times" w:eastAsia="Times New Roman" w:hAnsi="Times" w:cs="Arial"/>
          <w:iCs/>
          <w:noProof/>
          <w:color w:val="000000"/>
          <w:lang w:eastAsia="en-US"/>
        </w:rPr>
        <w:drawing>
          <wp:inline distT="0" distB="0" distL="0" distR="0" wp14:anchorId="5C3635C7" wp14:editId="1C177563">
            <wp:extent cx="6407706" cy="32120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A supp figure.jpg"/>
                    <pic:cNvPicPr/>
                  </pic:nvPicPr>
                  <pic:blipFill>
                    <a:blip r:embed="rId39">
                      <a:extLst>
                        <a:ext uri="{28A0092B-C50C-407E-A947-70E740481C1C}">
                          <a14:useLocalDpi xmlns:a14="http://schemas.microsoft.com/office/drawing/2010/main" val="0"/>
                        </a:ext>
                      </a:extLst>
                    </a:blip>
                    <a:stretch>
                      <a:fillRect/>
                    </a:stretch>
                  </pic:blipFill>
                  <pic:spPr>
                    <a:xfrm>
                      <a:off x="0" y="0"/>
                      <a:ext cx="6409284" cy="3212802"/>
                    </a:xfrm>
                    <a:prstGeom prst="rect">
                      <a:avLst/>
                    </a:prstGeom>
                  </pic:spPr>
                </pic:pic>
              </a:graphicData>
            </a:graphic>
          </wp:inline>
        </w:drawing>
      </w:r>
    </w:p>
    <w:p w14:paraId="41E66E4E" w14:textId="40228306" w:rsidR="00CB5AAE" w:rsidRDefault="00CB5AAE" w:rsidP="00CB5AAE">
      <w:pPr>
        <w:rPr>
          <w:rFonts w:ascii="Times" w:eastAsia="Times New Roman" w:hAnsi="Times" w:cs="Arial"/>
          <w:iCs/>
          <w:color w:val="000000"/>
          <w:lang w:eastAsia="en-US"/>
        </w:rPr>
      </w:pPr>
      <w:r>
        <w:rPr>
          <w:rFonts w:ascii="Times" w:eastAsia="Times New Roman" w:hAnsi="Times" w:cs="Arial"/>
          <w:iCs/>
          <w:color w:val="000000"/>
          <w:lang w:eastAsia="en-US"/>
        </w:rPr>
        <w:t>Supplementary Figure AppA.S1. Standard curve for the SOD standards (blue points) and percent inhibition vs. the natural log of the SOD concentration (purple points) with line of best fit used to calculate percent inhibition for samples of unknown concentrations (black line).</w:t>
      </w:r>
    </w:p>
    <w:p w14:paraId="54CA96EA" w14:textId="7B0C6399" w:rsidR="00C85C10" w:rsidRDefault="00C85C10" w:rsidP="00C85C10">
      <w:pPr>
        <w:pStyle w:val="Heading2"/>
        <w:rPr>
          <w:lang w:eastAsia="en-US"/>
        </w:rPr>
      </w:pPr>
      <w:bookmarkStart w:id="104" w:name="_Toc257278846"/>
      <w:r>
        <w:rPr>
          <w:lang w:eastAsia="en-US"/>
        </w:rPr>
        <w:t>Works Cited</w:t>
      </w:r>
      <w:bookmarkEnd w:id="104"/>
    </w:p>
    <w:p w14:paraId="365F8DF2" w14:textId="77777777" w:rsidR="00CA19DA" w:rsidRPr="00114AD7" w:rsidRDefault="00CA19DA" w:rsidP="00CA19DA">
      <w:pPr>
        <w:pStyle w:val="NormalWeb"/>
        <w:ind w:left="480" w:hanging="480"/>
        <w:rPr>
          <w:noProof/>
          <w:sz w:val="24"/>
          <w:szCs w:val="24"/>
        </w:rPr>
      </w:pPr>
      <w:r>
        <w:fldChar w:fldCharType="begin" w:fldLock="1"/>
      </w:r>
      <w:r>
        <w:instrText xml:space="preserve">ADDIN Mendeley Bibliography CSL_BIBLIOGRAPHY </w:instrText>
      </w:r>
      <w:r>
        <w:fldChar w:fldCharType="separate"/>
      </w:r>
      <w:r w:rsidRPr="00114AD7">
        <w:rPr>
          <w:noProof/>
          <w:sz w:val="24"/>
          <w:szCs w:val="24"/>
        </w:rPr>
        <w:t xml:space="preserve">Abele, D., Philipp, E., Gonzalez, P. M., &amp; Puntarulo, S. (2007). Marine invertebrate mitochondria and oxidative stress. </w:t>
      </w:r>
      <w:r w:rsidRPr="00114AD7">
        <w:rPr>
          <w:i/>
          <w:iCs/>
          <w:noProof/>
          <w:sz w:val="24"/>
          <w:szCs w:val="24"/>
        </w:rPr>
        <w:t>Frontiers in Bioscience</w:t>
      </w:r>
      <w:r w:rsidRPr="00114AD7">
        <w:rPr>
          <w:noProof/>
          <w:sz w:val="24"/>
          <w:szCs w:val="24"/>
        </w:rPr>
        <w:t xml:space="preserve">, </w:t>
      </w:r>
      <w:r w:rsidRPr="00114AD7">
        <w:rPr>
          <w:i/>
          <w:iCs/>
          <w:noProof/>
          <w:sz w:val="24"/>
          <w:szCs w:val="24"/>
        </w:rPr>
        <w:t>12</w:t>
      </w:r>
      <w:r w:rsidRPr="00114AD7">
        <w:rPr>
          <w:noProof/>
          <w:sz w:val="24"/>
          <w:szCs w:val="24"/>
        </w:rPr>
        <w:t>, 933–946.</w:t>
      </w:r>
    </w:p>
    <w:p w14:paraId="0AD551A9" w14:textId="22D0FD8A" w:rsidR="00CA19DA" w:rsidRPr="00114AD7" w:rsidRDefault="00CA19DA" w:rsidP="00CA19DA">
      <w:pPr>
        <w:pStyle w:val="NormalWeb"/>
        <w:ind w:left="480" w:hanging="480"/>
        <w:rPr>
          <w:noProof/>
          <w:sz w:val="24"/>
          <w:szCs w:val="24"/>
        </w:rPr>
      </w:pPr>
      <w:r w:rsidRPr="00114AD7">
        <w:rPr>
          <w:noProof/>
          <w:sz w:val="24"/>
          <w:szCs w:val="24"/>
        </w:rPr>
        <w:t>Berhane</w:t>
      </w:r>
      <w:r w:rsidR="00785E11">
        <w:rPr>
          <w:noProof/>
          <w:sz w:val="24"/>
          <w:szCs w:val="24"/>
        </w:rPr>
        <w:t>, K., Widersten, M., Engström, A.</w:t>
      </w:r>
      <w:r w:rsidRPr="00114AD7">
        <w:rPr>
          <w:noProof/>
          <w:sz w:val="24"/>
          <w:szCs w:val="24"/>
        </w:rPr>
        <w:t xml:space="preserve">, Kozarich, J. W., &amp; Mannervik, B. (1994). Detoxication of base propenals and other alpha, beta-unsaturated aldehyde products of radical reactions and lipid peroxidation by human glutathione transferases. </w:t>
      </w:r>
      <w:r w:rsidRPr="00114AD7">
        <w:rPr>
          <w:i/>
          <w:iCs/>
          <w:noProof/>
          <w:sz w:val="24"/>
          <w:szCs w:val="24"/>
        </w:rPr>
        <w:t>Proceedings of the National Academy of Sciences of the United States of America</w:t>
      </w:r>
      <w:r w:rsidRPr="00114AD7">
        <w:rPr>
          <w:noProof/>
          <w:sz w:val="24"/>
          <w:szCs w:val="24"/>
        </w:rPr>
        <w:t xml:space="preserve">, </w:t>
      </w:r>
      <w:r w:rsidRPr="00114AD7">
        <w:rPr>
          <w:i/>
          <w:iCs/>
          <w:noProof/>
          <w:sz w:val="24"/>
          <w:szCs w:val="24"/>
        </w:rPr>
        <w:t>91</w:t>
      </w:r>
      <w:r w:rsidRPr="00114AD7">
        <w:rPr>
          <w:noProof/>
          <w:sz w:val="24"/>
          <w:szCs w:val="24"/>
        </w:rPr>
        <w:t>(4), 1480–4.</w:t>
      </w:r>
    </w:p>
    <w:p w14:paraId="34AA8495" w14:textId="524D0905" w:rsidR="00CA19DA" w:rsidRPr="00114AD7" w:rsidRDefault="00785E11" w:rsidP="00CA19DA">
      <w:pPr>
        <w:pStyle w:val="NormalWeb"/>
        <w:ind w:left="480" w:hanging="480"/>
        <w:rPr>
          <w:noProof/>
          <w:sz w:val="24"/>
          <w:szCs w:val="24"/>
        </w:rPr>
      </w:pPr>
      <w:r>
        <w:rPr>
          <w:noProof/>
          <w:sz w:val="24"/>
          <w:szCs w:val="24"/>
        </w:rPr>
        <w:t>Boutet, I., Tanguy, A.</w:t>
      </w:r>
      <w:r w:rsidR="00CA19DA" w:rsidRPr="00114AD7">
        <w:rPr>
          <w:noProof/>
          <w:sz w:val="24"/>
          <w:szCs w:val="24"/>
        </w:rPr>
        <w:t xml:space="preserve">., &amp; Moraga, D. (2004). Characterisation and expression of four mRNA sequences encoding glutathione S-transferases pi, mu, omega and sigma classes in the Pacific oyster Crassostrea gigas exposed to hydrocarbons and pesticides. </w:t>
      </w:r>
      <w:r w:rsidR="00CA19DA" w:rsidRPr="00114AD7">
        <w:rPr>
          <w:i/>
          <w:iCs/>
          <w:noProof/>
          <w:sz w:val="24"/>
          <w:szCs w:val="24"/>
        </w:rPr>
        <w:t>Marine Biology</w:t>
      </w:r>
      <w:r w:rsidR="00CA19DA" w:rsidRPr="00114AD7">
        <w:rPr>
          <w:noProof/>
          <w:sz w:val="24"/>
          <w:szCs w:val="24"/>
        </w:rPr>
        <w:t xml:space="preserve">, </w:t>
      </w:r>
      <w:r w:rsidR="00CA19DA" w:rsidRPr="00114AD7">
        <w:rPr>
          <w:i/>
          <w:iCs/>
          <w:noProof/>
          <w:sz w:val="24"/>
          <w:szCs w:val="24"/>
        </w:rPr>
        <w:t>146</w:t>
      </w:r>
      <w:r w:rsidR="00CA19DA" w:rsidRPr="00114AD7">
        <w:rPr>
          <w:noProof/>
          <w:sz w:val="24"/>
          <w:szCs w:val="24"/>
        </w:rPr>
        <w:t>(1), 53–64. doi:10.1007/s00227-004-1423-6</w:t>
      </w:r>
    </w:p>
    <w:p w14:paraId="0CAD06D9" w14:textId="77777777" w:rsidR="00CA19DA" w:rsidRPr="00114AD7" w:rsidRDefault="00CA19DA" w:rsidP="00CA19DA">
      <w:pPr>
        <w:pStyle w:val="NormalWeb"/>
        <w:ind w:left="480" w:hanging="480"/>
        <w:rPr>
          <w:noProof/>
          <w:sz w:val="24"/>
          <w:szCs w:val="24"/>
        </w:rPr>
      </w:pPr>
      <w:r w:rsidRPr="00114AD7">
        <w:rPr>
          <w:noProof/>
          <w:sz w:val="24"/>
          <w:szCs w:val="24"/>
        </w:rPr>
        <w:t xml:space="preserve">Boutet, Isabelle, Tanguy, A., &amp; Moraga, D. (2004). Response of the Pacific oyster Crassostrea gigas to hydrocarbon contamination under experimental conditions. </w:t>
      </w:r>
      <w:r w:rsidRPr="00114AD7">
        <w:rPr>
          <w:i/>
          <w:iCs/>
          <w:noProof/>
          <w:sz w:val="24"/>
          <w:szCs w:val="24"/>
        </w:rPr>
        <w:t>Gene</w:t>
      </w:r>
      <w:r w:rsidRPr="00114AD7">
        <w:rPr>
          <w:noProof/>
          <w:sz w:val="24"/>
          <w:szCs w:val="24"/>
        </w:rPr>
        <w:t xml:space="preserve">, </w:t>
      </w:r>
      <w:r w:rsidRPr="00114AD7">
        <w:rPr>
          <w:i/>
          <w:iCs/>
          <w:noProof/>
          <w:sz w:val="24"/>
          <w:szCs w:val="24"/>
        </w:rPr>
        <w:t>329</w:t>
      </w:r>
      <w:r w:rsidRPr="00114AD7">
        <w:rPr>
          <w:noProof/>
          <w:sz w:val="24"/>
          <w:szCs w:val="24"/>
        </w:rPr>
        <w:t>, 147–57. doi:10.1016/j.gene.2003.12.027</w:t>
      </w:r>
    </w:p>
    <w:p w14:paraId="64EC6794" w14:textId="28F08493" w:rsidR="00CA19DA" w:rsidRPr="00114AD7" w:rsidRDefault="00CA19DA" w:rsidP="00CA19DA">
      <w:pPr>
        <w:pStyle w:val="NormalWeb"/>
        <w:ind w:left="480" w:hanging="480"/>
        <w:rPr>
          <w:noProof/>
          <w:sz w:val="24"/>
          <w:szCs w:val="24"/>
        </w:rPr>
      </w:pPr>
      <w:r w:rsidRPr="00114AD7">
        <w:rPr>
          <w:noProof/>
          <w:sz w:val="24"/>
          <w:szCs w:val="24"/>
        </w:rPr>
        <w:t>Clark, M. S., Tho</w:t>
      </w:r>
      <w:r w:rsidR="00785E11">
        <w:rPr>
          <w:noProof/>
          <w:sz w:val="24"/>
          <w:szCs w:val="24"/>
        </w:rPr>
        <w:t>rne, M. A.</w:t>
      </w:r>
      <w:r w:rsidRPr="00114AD7">
        <w:rPr>
          <w:noProof/>
          <w:sz w:val="24"/>
          <w:szCs w:val="24"/>
        </w:rPr>
        <w:t xml:space="preserve">S., Amaral, A., Vieira, F., Batista, F. M., Reis, J., &amp; Power, D. M. (2013). Identification of molecular and physiological responses to chronic environmental challenge in an invasive species: the Pacific oyster, Crassostrea gigas. </w:t>
      </w:r>
      <w:r w:rsidRPr="00114AD7">
        <w:rPr>
          <w:i/>
          <w:iCs/>
          <w:noProof/>
          <w:sz w:val="24"/>
          <w:szCs w:val="24"/>
        </w:rPr>
        <w:t>Ecology and evolution</w:t>
      </w:r>
      <w:r w:rsidRPr="00114AD7">
        <w:rPr>
          <w:noProof/>
          <w:sz w:val="24"/>
          <w:szCs w:val="24"/>
        </w:rPr>
        <w:t xml:space="preserve">, </w:t>
      </w:r>
      <w:r w:rsidRPr="00114AD7">
        <w:rPr>
          <w:i/>
          <w:iCs/>
          <w:noProof/>
          <w:sz w:val="24"/>
          <w:szCs w:val="24"/>
        </w:rPr>
        <w:t>3</w:t>
      </w:r>
      <w:r w:rsidRPr="00114AD7">
        <w:rPr>
          <w:noProof/>
          <w:sz w:val="24"/>
          <w:szCs w:val="24"/>
        </w:rPr>
        <w:t>(10), 3283–97. doi:10.1002/ece3.719</w:t>
      </w:r>
    </w:p>
    <w:p w14:paraId="5C4E942C" w14:textId="77777777" w:rsidR="00CA19DA" w:rsidRPr="00114AD7" w:rsidRDefault="00CA19DA" w:rsidP="00CA19DA">
      <w:pPr>
        <w:pStyle w:val="NormalWeb"/>
        <w:ind w:left="480" w:hanging="480"/>
        <w:rPr>
          <w:noProof/>
          <w:sz w:val="24"/>
          <w:szCs w:val="24"/>
        </w:rPr>
      </w:pPr>
      <w:r w:rsidRPr="00114AD7">
        <w:rPr>
          <w:noProof/>
          <w:sz w:val="24"/>
          <w:szCs w:val="24"/>
        </w:rPr>
        <w:t xml:space="preserve">Daniel, V. (1993). Glutathione S-Transferases: Gene Structure and Regulation of Expression. </w:t>
      </w:r>
      <w:r w:rsidRPr="00114AD7">
        <w:rPr>
          <w:i/>
          <w:iCs/>
          <w:noProof/>
          <w:sz w:val="24"/>
          <w:szCs w:val="24"/>
        </w:rPr>
        <w:t>Critical Reviews in Biochemistry and Molecular Biology</w:t>
      </w:r>
      <w:r w:rsidRPr="00114AD7">
        <w:rPr>
          <w:noProof/>
          <w:sz w:val="24"/>
          <w:szCs w:val="24"/>
        </w:rPr>
        <w:t xml:space="preserve">, </w:t>
      </w:r>
      <w:r w:rsidRPr="00114AD7">
        <w:rPr>
          <w:i/>
          <w:iCs/>
          <w:noProof/>
          <w:sz w:val="24"/>
          <w:szCs w:val="24"/>
        </w:rPr>
        <w:t>28</w:t>
      </w:r>
      <w:r w:rsidRPr="00114AD7">
        <w:rPr>
          <w:noProof/>
          <w:sz w:val="24"/>
          <w:szCs w:val="24"/>
        </w:rPr>
        <w:t>(3), 173–207.</w:t>
      </w:r>
    </w:p>
    <w:p w14:paraId="4D973C0B" w14:textId="77777777" w:rsidR="00CA19DA" w:rsidRPr="00114AD7" w:rsidRDefault="00CA19DA" w:rsidP="00CA19DA">
      <w:pPr>
        <w:pStyle w:val="NormalWeb"/>
        <w:ind w:left="480" w:hanging="480"/>
        <w:rPr>
          <w:noProof/>
          <w:sz w:val="24"/>
          <w:szCs w:val="24"/>
        </w:rPr>
      </w:pPr>
      <w:r w:rsidRPr="00114AD7">
        <w:rPr>
          <w:noProof/>
          <w:sz w:val="24"/>
          <w:szCs w:val="24"/>
        </w:rPr>
        <w:t xml:space="preserve">Donaghy, L., Kraffe, E., Le Goïc, N., Lambert, C., Volety, A. K., &amp; Soudant, P. (2012). Reactive oxygen species in unstimulated hemocytes of the pacific oyster Crassostrea gigas: a mitochondrial involvement. </w:t>
      </w:r>
      <w:r w:rsidRPr="00114AD7">
        <w:rPr>
          <w:i/>
          <w:iCs/>
          <w:noProof/>
          <w:sz w:val="24"/>
          <w:szCs w:val="24"/>
        </w:rPr>
        <w:t>PloS one</w:t>
      </w:r>
      <w:r w:rsidRPr="00114AD7">
        <w:rPr>
          <w:noProof/>
          <w:sz w:val="24"/>
          <w:szCs w:val="24"/>
        </w:rPr>
        <w:t xml:space="preserve">, </w:t>
      </w:r>
      <w:r w:rsidRPr="00114AD7">
        <w:rPr>
          <w:i/>
          <w:iCs/>
          <w:noProof/>
          <w:sz w:val="24"/>
          <w:szCs w:val="24"/>
        </w:rPr>
        <w:t>7</w:t>
      </w:r>
      <w:r w:rsidRPr="00114AD7">
        <w:rPr>
          <w:noProof/>
          <w:sz w:val="24"/>
          <w:szCs w:val="24"/>
        </w:rPr>
        <w:t>(10), e46594. doi:10.1371/journal.pone.0046594</w:t>
      </w:r>
    </w:p>
    <w:p w14:paraId="58F31AB3" w14:textId="3843EBED" w:rsidR="00130429" w:rsidRPr="00114AD7" w:rsidRDefault="00130429" w:rsidP="00CA19DA">
      <w:pPr>
        <w:pStyle w:val="NormalWeb"/>
        <w:ind w:left="480" w:hanging="480"/>
        <w:rPr>
          <w:noProof/>
          <w:sz w:val="24"/>
          <w:szCs w:val="24"/>
        </w:rPr>
      </w:pPr>
      <w:r w:rsidRPr="00114AD7">
        <w:rPr>
          <w:noProof/>
          <w:sz w:val="24"/>
          <w:szCs w:val="24"/>
        </w:rPr>
        <w:t xml:space="preserve">Duncan, P., Spicer, J.I., Taylor, A.C., and Davies, P.S. (1994). Acid-base disturbances accompanying emersion in the scallop </w:t>
      </w:r>
      <w:r w:rsidRPr="00114AD7">
        <w:rPr>
          <w:i/>
          <w:noProof/>
          <w:sz w:val="24"/>
          <w:szCs w:val="24"/>
        </w:rPr>
        <w:t xml:space="preserve">Pecten maximus </w:t>
      </w:r>
      <w:r w:rsidRPr="00114AD7">
        <w:rPr>
          <w:noProof/>
          <w:sz w:val="24"/>
          <w:szCs w:val="24"/>
        </w:rPr>
        <w:t xml:space="preserve">(L.). </w:t>
      </w:r>
      <w:r w:rsidRPr="00114AD7">
        <w:rPr>
          <w:i/>
          <w:noProof/>
          <w:sz w:val="24"/>
          <w:szCs w:val="24"/>
        </w:rPr>
        <w:t>Journal of Experimental Marine Biology and Ecology</w:t>
      </w:r>
      <w:r w:rsidRPr="00114AD7">
        <w:rPr>
          <w:noProof/>
          <w:sz w:val="24"/>
          <w:szCs w:val="24"/>
        </w:rPr>
        <w:t xml:space="preserve">, </w:t>
      </w:r>
      <w:r w:rsidRPr="00114AD7">
        <w:rPr>
          <w:i/>
          <w:noProof/>
          <w:sz w:val="24"/>
          <w:szCs w:val="24"/>
        </w:rPr>
        <w:t>182</w:t>
      </w:r>
      <w:r w:rsidRPr="00114AD7">
        <w:rPr>
          <w:noProof/>
          <w:sz w:val="24"/>
          <w:szCs w:val="24"/>
        </w:rPr>
        <w:t>, 15-25.</w:t>
      </w:r>
    </w:p>
    <w:p w14:paraId="3DE74697" w14:textId="77777777" w:rsidR="00CA19DA" w:rsidRPr="00114AD7" w:rsidRDefault="00CA19DA" w:rsidP="00CA19DA">
      <w:pPr>
        <w:pStyle w:val="NormalWeb"/>
        <w:ind w:left="480" w:hanging="480"/>
        <w:rPr>
          <w:noProof/>
          <w:sz w:val="24"/>
          <w:szCs w:val="24"/>
        </w:rPr>
      </w:pPr>
      <w:r w:rsidRPr="00114AD7">
        <w:rPr>
          <w:noProof/>
          <w:sz w:val="24"/>
          <w:szCs w:val="24"/>
        </w:rPr>
        <w:t xml:space="preserve">Gagnaire, B., Gay, M., Huvet, A., Daniel, J.-Y., Saulnier, D., &amp; Renault, T. (2007). Combination of a pesticide exposure and a bacterial challenge: in vivo effects on immune response of Pacific oyster, Crassostrea gigas (Thunberg). </w:t>
      </w:r>
      <w:r w:rsidRPr="00114AD7">
        <w:rPr>
          <w:i/>
          <w:iCs/>
          <w:noProof/>
          <w:sz w:val="24"/>
          <w:szCs w:val="24"/>
        </w:rPr>
        <w:t>Aquatic toxicology (Amsterdam, Netherlands)</w:t>
      </w:r>
      <w:r w:rsidRPr="00114AD7">
        <w:rPr>
          <w:noProof/>
          <w:sz w:val="24"/>
          <w:szCs w:val="24"/>
        </w:rPr>
        <w:t xml:space="preserve">, </w:t>
      </w:r>
      <w:r w:rsidRPr="00114AD7">
        <w:rPr>
          <w:i/>
          <w:iCs/>
          <w:noProof/>
          <w:sz w:val="24"/>
          <w:szCs w:val="24"/>
        </w:rPr>
        <w:t>84</w:t>
      </w:r>
      <w:r w:rsidRPr="00114AD7">
        <w:rPr>
          <w:noProof/>
          <w:sz w:val="24"/>
          <w:szCs w:val="24"/>
        </w:rPr>
        <w:t>(1), 92–102. doi:10.1016/j.aquatox.2007.06.002</w:t>
      </w:r>
    </w:p>
    <w:p w14:paraId="6C8BEB77" w14:textId="77777777" w:rsidR="00CA19DA" w:rsidRPr="00114AD7" w:rsidRDefault="00CA19DA" w:rsidP="00CA19DA">
      <w:pPr>
        <w:pStyle w:val="NormalWeb"/>
        <w:ind w:left="480" w:hanging="480"/>
        <w:rPr>
          <w:noProof/>
          <w:sz w:val="24"/>
          <w:szCs w:val="24"/>
        </w:rPr>
      </w:pPr>
      <w:r w:rsidRPr="00114AD7">
        <w:rPr>
          <w:noProof/>
          <w:sz w:val="24"/>
          <w:szCs w:val="24"/>
        </w:rPr>
        <w:t xml:space="preserve">Gonzalez, M., Romestand, B., Fievet, J., Huvet, A., Lebart, M.-C., Gueguen, Y., &amp; Bachère, E. (2005). Evidence in oyster of a plasma extracellular superoxide dismutase which binds LPS. </w:t>
      </w:r>
      <w:r w:rsidRPr="00114AD7">
        <w:rPr>
          <w:i/>
          <w:iCs/>
          <w:noProof/>
          <w:sz w:val="24"/>
          <w:szCs w:val="24"/>
        </w:rPr>
        <w:t>Biochemical and biophysical research communications</w:t>
      </w:r>
      <w:r w:rsidRPr="00114AD7">
        <w:rPr>
          <w:noProof/>
          <w:sz w:val="24"/>
          <w:szCs w:val="24"/>
        </w:rPr>
        <w:t xml:space="preserve">, </w:t>
      </w:r>
      <w:r w:rsidRPr="00114AD7">
        <w:rPr>
          <w:i/>
          <w:iCs/>
          <w:noProof/>
          <w:sz w:val="24"/>
          <w:szCs w:val="24"/>
        </w:rPr>
        <w:t>338</w:t>
      </w:r>
      <w:r w:rsidRPr="00114AD7">
        <w:rPr>
          <w:noProof/>
          <w:sz w:val="24"/>
          <w:szCs w:val="24"/>
        </w:rPr>
        <w:t>(2), 1089–97. doi:10.1016/j.bbrc.2005.10.075</w:t>
      </w:r>
    </w:p>
    <w:p w14:paraId="4ED5218D" w14:textId="76F93903" w:rsidR="00CA19DA" w:rsidRPr="00114AD7" w:rsidRDefault="00CA19DA" w:rsidP="00CA19DA">
      <w:pPr>
        <w:pStyle w:val="NormalWeb"/>
        <w:ind w:left="480" w:hanging="480"/>
        <w:rPr>
          <w:noProof/>
          <w:sz w:val="24"/>
          <w:szCs w:val="24"/>
        </w:rPr>
      </w:pPr>
      <w:r w:rsidRPr="00114AD7">
        <w:rPr>
          <w:noProof/>
          <w:sz w:val="24"/>
          <w:szCs w:val="24"/>
        </w:rPr>
        <w:t>Guévélou, E., Huvet, A., Galindo-Sánchez, C. E., Milan, M.</w:t>
      </w:r>
      <w:r w:rsidR="00785E11">
        <w:rPr>
          <w:noProof/>
          <w:sz w:val="24"/>
          <w:szCs w:val="24"/>
        </w:rPr>
        <w:t>, Quillien, V., Daniel, J.-Y., Quéré, C., Boudry, P., &amp;</w:t>
      </w:r>
      <w:r w:rsidRPr="00114AD7">
        <w:rPr>
          <w:noProof/>
          <w:sz w:val="24"/>
          <w:szCs w:val="24"/>
        </w:rPr>
        <w:t xml:space="preserve"> Corporeau, C. (2013). Sex-specific regulation of AMP-activated protein kinase (AMPK) in the Pacific oyster Crassostrea gigas. </w:t>
      </w:r>
      <w:r w:rsidRPr="00114AD7">
        <w:rPr>
          <w:i/>
          <w:iCs/>
          <w:noProof/>
          <w:sz w:val="24"/>
          <w:szCs w:val="24"/>
        </w:rPr>
        <w:t>Biology of reproduction</w:t>
      </w:r>
      <w:r w:rsidRPr="00114AD7">
        <w:rPr>
          <w:noProof/>
          <w:sz w:val="24"/>
          <w:szCs w:val="24"/>
        </w:rPr>
        <w:t xml:space="preserve">, </w:t>
      </w:r>
      <w:r w:rsidRPr="00114AD7">
        <w:rPr>
          <w:i/>
          <w:iCs/>
          <w:noProof/>
          <w:sz w:val="24"/>
          <w:szCs w:val="24"/>
        </w:rPr>
        <w:t>89</w:t>
      </w:r>
      <w:r w:rsidRPr="00114AD7">
        <w:rPr>
          <w:noProof/>
          <w:sz w:val="24"/>
          <w:szCs w:val="24"/>
        </w:rPr>
        <w:t>(4), 100. doi:10.1095/biolreprod.113.109728</w:t>
      </w:r>
    </w:p>
    <w:p w14:paraId="6174F8A9" w14:textId="77777777" w:rsidR="00CA19DA" w:rsidRPr="00114AD7" w:rsidRDefault="00CA19DA" w:rsidP="00CA19DA">
      <w:pPr>
        <w:pStyle w:val="NormalWeb"/>
        <w:ind w:left="480" w:hanging="480"/>
        <w:rPr>
          <w:noProof/>
          <w:sz w:val="24"/>
          <w:szCs w:val="24"/>
        </w:rPr>
      </w:pPr>
      <w:r w:rsidRPr="00114AD7">
        <w:rPr>
          <w:noProof/>
          <w:sz w:val="24"/>
          <w:szCs w:val="24"/>
        </w:rPr>
        <w:t xml:space="preserve">Jo, P. G., Choi, Y. K., &amp; Choi, C. Y. (2008). Cloning and mRNA expression of antioxidant enzymes in the Pacific oyster, Crassostrea gigas in response to cadmium exposure. </w:t>
      </w:r>
      <w:r w:rsidRPr="00114AD7">
        <w:rPr>
          <w:i/>
          <w:iCs/>
          <w:noProof/>
          <w:sz w:val="24"/>
          <w:szCs w:val="24"/>
        </w:rPr>
        <w:t>Comparative biochemistry and physiology. Toxicology &amp; pharmacology</w:t>
      </w:r>
      <w:r w:rsidRPr="00114AD7">
        <w:rPr>
          <w:rFonts w:ascii="Times New Roman" w:hAnsi="Times New Roman"/>
          <w:i/>
          <w:iCs/>
          <w:noProof/>
          <w:sz w:val="24"/>
          <w:szCs w:val="24"/>
        </w:rPr>
        <w:t> </w:t>
      </w:r>
      <w:r w:rsidRPr="00114AD7">
        <w:rPr>
          <w:i/>
          <w:iCs/>
          <w:noProof/>
          <w:sz w:val="24"/>
          <w:szCs w:val="24"/>
        </w:rPr>
        <w:t>: CBP</w:t>
      </w:r>
      <w:r w:rsidRPr="00114AD7">
        <w:rPr>
          <w:noProof/>
          <w:sz w:val="24"/>
          <w:szCs w:val="24"/>
        </w:rPr>
        <w:t xml:space="preserve">, </w:t>
      </w:r>
      <w:r w:rsidRPr="00114AD7">
        <w:rPr>
          <w:i/>
          <w:iCs/>
          <w:noProof/>
          <w:sz w:val="24"/>
          <w:szCs w:val="24"/>
        </w:rPr>
        <w:t>147</w:t>
      </w:r>
      <w:r w:rsidRPr="00114AD7">
        <w:rPr>
          <w:noProof/>
          <w:sz w:val="24"/>
          <w:szCs w:val="24"/>
        </w:rPr>
        <w:t>(4), 460–9. doi:10.1016/j.cbpc.2008.02.001</w:t>
      </w:r>
    </w:p>
    <w:p w14:paraId="4F73B667" w14:textId="43D18472" w:rsidR="00130429" w:rsidRPr="00114AD7" w:rsidRDefault="00130429" w:rsidP="00CA19DA">
      <w:pPr>
        <w:pStyle w:val="NormalWeb"/>
        <w:ind w:left="480" w:hanging="480"/>
        <w:rPr>
          <w:noProof/>
          <w:sz w:val="24"/>
          <w:szCs w:val="24"/>
        </w:rPr>
      </w:pPr>
      <w:r w:rsidRPr="00114AD7">
        <w:rPr>
          <w:noProof/>
          <w:sz w:val="24"/>
          <w:szCs w:val="24"/>
        </w:rPr>
        <w:t xml:space="preserve">Jokumsen, A. and Fyhn, H.J. (1982). The influence of aerial exposure upon respiratory and osmostic properties of ahemolymph from two intertidal mussles, </w:t>
      </w:r>
      <w:r w:rsidRPr="00114AD7">
        <w:rPr>
          <w:i/>
          <w:noProof/>
          <w:sz w:val="24"/>
          <w:szCs w:val="24"/>
        </w:rPr>
        <w:t xml:space="preserve">Mytilus edulis </w:t>
      </w:r>
      <w:r w:rsidRPr="00114AD7">
        <w:rPr>
          <w:noProof/>
          <w:sz w:val="24"/>
          <w:szCs w:val="24"/>
        </w:rPr>
        <w:t xml:space="preserve">L. and </w:t>
      </w:r>
      <w:r w:rsidRPr="00114AD7">
        <w:rPr>
          <w:i/>
          <w:noProof/>
          <w:sz w:val="24"/>
          <w:szCs w:val="24"/>
        </w:rPr>
        <w:t xml:space="preserve">Modiolus modiolus </w:t>
      </w:r>
      <w:r w:rsidRPr="00114AD7">
        <w:rPr>
          <w:noProof/>
          <w:sz w:val="24"/>
          <w:szCs w:val="24"/>
        </w:rPr>
        <w:t xml:space="preserve">L. </w:t>
      </w:r>
      <w:r w:rsidRPr="00114AD7">
        <w:rPr>
          <w:i/>
          <w:noProof/>
          <w:sz w:val="24"/>
          <w:szCs w:val="24"/>
        </w:rPr>
        <w:t>Journal of Experimental Marine Biology and Ecology</w:t>
      </w:r>
      <w:r w:rsidRPr="00114AD7">
        <w:rPr>
          <w:noProof/>
          <w:sz w:val="24"/>
          <w:szCs w:val="24"/>
        </w:rPr>
        <w:t xml:space="preserve">, </w:t>
      </w:r>
      <w:r w:rsidRPr="00114AD7">
        <w:rPr>
          <w:i/>
          <w:noProof/>
          <w:sz w:val="24"/>
          <w:szCs w:val="24"/>
        </w:rPr>
        <w:t>61</w:t>
      </w:r>
      <w:r w:rsidRPr="00114AD7">
        <w:rPr>
          <w:noProof/>
          <w:sz w:val="24"/>
          <w:szCs w:val="24"/>
        </w:rPr>
        <w:t>, 189-203.</w:t>
      </w:r>
    </w:p>
    <w:p w14:paraId="5F744E73" w14:textId="77777777" w:rsidR="00CA19DA" w:rsidRPr="00114AD7" w:rsidRDefault="00CA19DA" w:rsidP="00CA19DA">
      <w:pPr>
        <w:pStyle w:val="NormalWeb"/>
        <w:ind w:left="480" w:hanging="480"/>
        <w:rPr>
          <w:noProof/>
          <w:sz w:val="24"/>
          <w:szCs w:val="24"/>
        </w:rPr>
      </w:pPr>
      <w:r w:rsidRPr="00114AD7">
        <w:rPr>
          <w:noProof/>
          <w:sz w:val="24"/>
          <w:szCs w:val="24"/>
        </w:rPr>
        <w:t xml:space="preserve">Kaniewska, P., Campbell, P. R., Kline, D. I., Rodriguez-Lanetty, M., Miller, D. J., Dove, S., &amp; Hoegh-Guldberg, O. (2012). Major cellular and physiological impacts of ocean acidification on a reef building coral. </w:t>
      </w:r>
      <w:r w:rsidRPr="00114AD7">
        <w:rPr>
          <w:i/>
          <w:iCs/>
          <w:noProof/>
          <w:sz w:val="24"/>
          <w:szCs w:val="24"/>
        </w:rPr>
        <w:t>PloS one</w:t>
      </w:r>
      <w:r w:rsidRPr="00114AD7">
        <w:rPr>
          <w:noProof/>
          <w:sz w:val="24"/>
          <w:szCs w:val="24"/>
        </w:rPr>
        <w:t xml:space="preserve">, </w:t>
      </w:r>
      <w:r w:rsidRPr="00114AD7">
        <w:rPr>
          <w:i/>
          <w:iCs/>
          <w:noProof/>
          <w:sz w:val="24"/>
          <w:szCs w:val="24"/>
        </w:rPr>
        <w:t>7</w:t>
      </w:r>
      <w:r w:rsidRPr="00114AD7">
        <w:rPr>
          <w:noProof/>
          <w:sz w:val="24"/>
          <w:szCs w:val="24"/>
        </w:rPr>
        <w:t>(4), e34659. doi:10.1371/journal.pone.0034659</w:t>
      </w:r>
    </w:p>
    <w:p w14:paraId="0BF27091" w14:textId="77777777" w:rsidR="00CA19DA" w:rsidRPr="00114AD7" w:rsidRDefault="00CA19DA" w:rsidP="00CA19DA">
      <w:pPr>
        <w:pStyle w:val="NormalWeb"/>
        <w:ind w:left="480" w:hanging="480"/>
        <w:rPr>
          <w:noProof/>
          <w:sz w:val="24"/>
          <w:szCs w:val="24"/>
        </w:rPr>
      </w:pPr>
      <w:r w:rsidRPr="00114AD7">
        <w:rPr>
          <w:noProof/>
          <w:sz w:val="24"/>
          <w:szCs w:val="24"/>
        </w:rPr>
        <w:t xml:space="preserve">Leaver, M. J., &amp; George, S. G. (1996). Three repeated glutathione S-transferase genes from a marine fish, the plaice (Pleuronectes platessa). </w:t>
      </w:r>
      <w:r w:rsidRPr="00114AD7">
        <w:rPr>
          <w:i/>
          <w:iCs/>
          <w:noProof/>
          <w:sz w:val="24"/>
          <w:szCs w:val="24"/>
        </w:rPr>
        <w:t>Marine Environmental Research</w:t>
      </w:r>
      <w:r w:rsidRPr="00114AD7">
        <w:rPr>
          <w:noProof/>
          <w:sz w:val="24"/>
          <w:szCs w:val="24"/>
        </w:rPr>
        <w:t xml:space="preserve">, </w:t>
      </w:r>
      <w:r w:rsidRPr="00114AD7">
        <w:rPr>
          <w:i/>
          <w:iCs/>
          <w:noProof/>
          <w:sz w:val="24"/>
          <w:szCs w:val="24"/>
        </w:rPr>
        <w:t>42</w:t>
      </w:r>
      <w:r w:rsidRPr="00114AD7">
        <w:rPr>
          <w:noProof/>
          <w:sz w:val="24"/>
          <w:szCs w:val="24"/>
        </w:rPr>
        <w:t>(1-4), 19–23. doi:10.1016/0141-1136(95)00080-1</w:t>
      </w:r>
    </w:p>
    <w:p w14:paraId="6ED51588" w14:textId="35AD0784" w:rsidR="00CA19DA" w:rsidRPr="00114AD7" w:rsidRDefault="00CA19DA" w:rsidP="00CA19DA">
      <w:pPr>
        <w:pStyle w:val="NormalWeb"/>
        <w:ind w:left="480" w:hanging="480"/>
        <w:rPr>
          <w:noProof/>
          <w:sz w:val="24"/>
          <w:szCs w:val="24"/>
        </w:rPr>
      </w:pPr>
      <w:r w:rsidRPr="00114AD7">
        <w:rPr>
          <w:noProof/>
          <w:sz w:val="24"/>
          <w:szCs w:val="24"/>
        </w:rPr>
        <w:t>Letendre, J., Dupont-Rouzeyrol, M., Hanquet, A.-C., Durand</w:t>
      </w:r>
      <w:r w:rsidR="00A10CC1">
        <w:rPr>
          <w:noProof/>
          <w:sz w:val="24"/>
          <w:szCs w:val="24"/>
        </w:rPr>
        <w:t>, F., Budzinski, H., Chan, P., Vaudry, D., &amp;</w:t>
      </w:r>
      <w:r w:rsidRPr="00114AD7">
        <w:rPr>
          <w:noProof/>
          <w:sz w:val="24"/>
          <w:szCs w:val="24"/>
        </w:rPr>
        <w:t xml:space="preserve"> Rocher, B. (2011). Impact of toxicant exposure on the proteomic response to intertidal condition in Mytilus edulis. </w:t>
      </w:r>
      <w:r w:rsidRPr="00114AD7">
        <w:rPr>
          <w:i/>
          <w:iCs/>
          <w:noProof/>
          <w:sz w:val="24"/>
          <w:szCs w:val="24"/>
        </w:rPr>
        <w:t>Comparative biochemistry and physiology. Part D, Genomics &amp; proteomics</w:t>
      </w:r>
      <w:r w:rsidRPr="00114AD7">
        <w:rPr>
          <w:noProof/>
          <w:sz w:val="24"/>
          <w:szCs w:val="24"/>
        </w:rPr>
        <w:t xml:space="preserve">, </w:t>
      </w:r>
      <w:r w:rsidRPr="00114AD7">
        <w:rPr>
          <w:i/>
          <w:iCs/>
          <w:noProof/>
          <w:sz w:val="24"/>
          <w:szCs w:val="24"/>
        </w:rPr>
        <w:t>6</w:t>
      </w:r>
      <w:r w:rsidRPr="00114AD7">
        <w:rPr>
          <w:noProof/>
          <w:sz w:val="24"/>
          <w:szCs w:val="24"/>
        </w:rPr>
        <w:t>(4), 357–69. doi:10.1016/j.cbd.2011.08.002</w:t>
      </w:r>
    </w:p>
    <w:p w14:paraId="6619309F" w14:textId="514B8326" w:rsidR="00130429" w:rsidRPr="00114AD7" w:rsidRDefault="00130429" w:rsidP="00CA19DA">
      <w:pPr>
        <w:pStyle w:val="NormalWeb"/>
        <w:ind w:left="480" w:hanging="480"/>
        <w:rPr>
          <w:noProof/>
          <w:sz w:val="24"/>
          <w:szCs w:val="24"/>
        </w:rPr>
      </w:pPr>
      <w:r w:rsidRPr="00114AD7">
        <w:rPr>
          <w:noProof/>
          <w:sz w:val="24"/>
          <w:szCs w:val="24"/>
        </w:rPr>
        <w:t xml:space="preserve">Letendre, J., Chouquet, B., Manduzio, H., Marin, M., Bultell, F., Leboulenger, F., and Durand, F. (2009). Tidal height influences the levels of enzymatic antioxidant defences in </w:t>
      </w:r>
      <w:r w:rsidRPr="00114AD7">
        <w:rPr>
          <w:i/>
          <w:noProof/>
          <w:sz w:val="24"/>
          <w:szCs w:val="24"/>
        </w:rPr>
        <w:t>Mytilus edulis</w:t>
      </w:r>
      <w:r w:rsidRPr="00114AD7">
        <w:rPr>
          <w:noProof/>
          <w:sz w:val="24"/>
          <w:szCs w:val="24"/>
        </w:rPr>
        <w:t xml:space="preserve">. </w:t>
      </w:r>
      <w:r w:rsidRPr="00114AD7">
        <w:rPr>
          <w:i/>
          <w:noProof/>
          <w:sz w:val="24"/>
          <w:szCs w:val="24"/>
        </w:rPr>
        <w:t>Marine Environmental Research</w:t>
      </w:r>
      <w:r w:rsidRPr="00114AD7">
        <w:rPr>
          <w:noProof/>
          <w:sz w:val="24"/>
          <w:szCs w:val="24"/>
        </w:rPr>
        <w:t xml:space="preserve">, </w:t>
      </w:r>
      <w:r w:rsidRPr="00114AD7">
        <w:rPr>
          <w:i/>
          <w:noProof/>
          <w:sz w:val="24"/>
          <w:szCs w:val="24"/>
        </w:rPr>
        <w:t>67</w:t>
      </w:r>
      <w:r w:rsidRPr="00114AD7">
        <w:rPr>
          <w:noProof/>
          <w:sz w:val="24"/>
          <w:szCs w:val="24"/>
        </w:rPr>
        <w:t>, 69-74.</w:t>
      </w:r>
    </w:p>
    <w:p w14:paraId="7FA7FEB5" w14:textId="77777777" w:rsidR="00CA19DA" w:rsidRPr="00114AD7" w:rsidRDefault="00CA19DA" w:rsidP="00CA19DA">
      <w:pPr>
        <w:pStyle w:val="NormalWeb"/>
        <w:ind w:left="480" w:hanging="480"/>
        <w:rPr>
          <w:noProof/>
          <w:sz w:val="24"/>
          <w:szCs w:val="24"/>
        </w:rPr>
      </w:pPr>
      <w:r w:rsidRPr="00114AD7">
        <w:rPr>
          <w:noProof/>
          <w:sz w:val="24"/>
          <w:szCs w:val="24"/>
        </w:rPr>
        <w:t xml:space="preserve">Malécot, M., Guével, B., Pineau, C., Holbech, B. F., Bormans, M., &amp; Wiegand, C. (2013). Specific proteomic response of Unio pictorum mussel to a mixture of glyphosate and microcystin-LR. </w:t>
      </w:r>
      <w:r w:rsidRPr="00114AD7">
        <w:rPr>
          <w:i/>
          <w:iCs/>
          <w:noProof/>
          <w:sz w:val="24"/>
          <w:szCs w:val="24"/>
        </w:rPr>
        <w:t>Journal of proteome research</w:t>
      </w:r>
      <w:r w:rsidRPr="00114AD7">
        <w:rPr>
          <w:noProof/>
          <w:sz w:val="24"/>
          <w:szCs w:val="24"/>
        </w:rPr>
        <w:t xml:space="preserve">, </w:t>
      </w:r>
      <w:r w:rsidRPr="00114AD7">
        <w:rPr>
          <w:i/>
          <w:iCs/>
          <w:noProof/>
          <w:sz w:val="24"/>
          <w:szCs w:val="24"/>
        </w:rPr>
        <w:t>12</w:t>
      </w:r>
      <w:r w:rsidRPr="00114AD7">
        <w:rPr>
          <w:noProof/>
          <w:sz w:val="24"/>
          <w:szCs w:val="24"/>
        </w:rPr>
        <w:t>(11), 5281–92. doi:10.1021/pr4006316</w:t>
      </w:r>
    </w:p>
    <w:p w14:paraId="6AE37324" w14:textId="77777777" w:rsidR="00CA19DA" w:rsidRPr="00114AD7" w:rsidRDefault="00CA19DA" w:rsidP="00CA19DA">
      <w:pPr>
        <w:pStyle w:val="NormalWeb"/>
        <w:ind w:left="480" w:hanging="480"/>
        <w:rPr>
          <w:noProof/>
          <w:sz w:val="24"/>
          <w:szCs w:val="24"/>
        </w:rPr>
      </w:pPr>
      <w:r w:rsidRPr="00114AD7">
        <w:rPr>
          <w:noProof/>
          <w:sz w:val="24"/>
          <w:szCs w:val="24"/>
        </w:rPr>
        <w:t xml:space="preserve">Matoo, O. B., Ivanina, A. V, Ullstad, C., Beniash, E., &amp; Sokolova, I. M. (2013). Interactive effects of elevated temperature and CO(2) levels on metabolism and oxidative stress in two common marine bivalves (Crassostrea virginica and Mercenaria mercenaria). </w:t>
      </w:r>
      <w:r w:rsidRPr="00114AD7">
        <w:rPr>
          <w:i/>
          <w:iCs/>
          <w:noProof/>
          <w:sz w:val="24"/>
          <w:szCs w:val="24"/>
        </w:rPr>
        <w:t>Comparative biochemistry and physiology. Part A, Molecular &amp; integrative physiology</w:t>
      </w:r>
      <w:r w:rsidRPr="00114AD7">
        <w:rPr>
          <w:noProof/>
          <w:sz w:val="24"/>
          <w:szCs w:val="24"/>
        </w:rPr>
        <w:t xml:space="preserve">, </w:t>
      </w:r>
      <w:r w:rsidRPr="00114AD7">
        <w:rPr>
          <w:i/>
          <w:iCs/>
          <w:noProof/>
          <w:sz w:val="24"/>
          <w:szCs w:val="24"/>
        </w:rPr>
        <w:t>164</w:t>
      </w:r>
      <w:r w:rsidRPr="00114AD7">
        <w:rPr>
          <w:noProof/>
          <w:sz w:val="24"/>
          <w:szCs w:val="24"/>
        </w:rPr>
        <w:t>(4), 545–53. doi:10.1016/j.cbpa.2012.12.025</w:t>
      </w:r>
    </w:p>
    <w:p w14:paraId="7B8DA7FF" w14:textId="73BD15EF" w:rsidR="00130429" w:rsidRPr="00114AD7" w:rsidRDefault="00130429" w:rsidP="00CA19DA">
      <w:pPr>
        <w:pStyle w:val="NormalWeb"/>
        <w:ind w:left="480" w:hanging="480"/>
        <w:rPr>
          <w:noProof/>
          <w:sz w:val="24"/>
          <w:szCs w:val="24"/>
        </w:rPr>
      </w:pPr>
      <w:r w:rsidRPr="00114AD7">
        <w:rPr>
          <w:noProof/>
          <w:sz w:val="24"/>
          <w:szCs w:val="24"/>
        </w:rPr>
        <w:t>Matozzo, V., Chinellato, A., Munari, M., Finos, L., Bressan, M., and Marin, M.G. (</w:t>
      </w:r>
      <w:r w:rsidR="00823355" w:rsidRPr="00114AD7">
        <w:rPr>
          <w:noProof/>
          <w:sz w:val="24"/>
          <w:szCs w:val="24"/>
        </w:rPr>
        <w:t xml:space="preserve">2012). First evidence of immunomodulation in bivalves under seawater acidification and increased temperature. </w:t>
      </w:r>
      <w:r w:rsidR="00823355" w:rsidRPr="00114AD7">
        <w:rPr>
          <w:i/>
          <w:noProof/>
          <w:sz w:val="24"/>
          <w:szCs w:val="24"/>
        </w:rPr>
        <w:t>PLoS ONE</w:t>
      </w:r>
      <w:r w:rsidR="00823355" w:rsidRPr="00114AD7">
        <w:rPr>
          <w:noProof/>
          <w:sz w:val="24"/>
          <w:szCs w:val="24"/>
        </w:rPr>
        <w:t xml:space="preserve">, </w:t>
      </w:r>
      <w:r w:rsidR="00823355" w:rsidRPr="00114AD7">
        <w:rPr>
          <w:i/>
          <w:noProof/>
          <w:sz w:val="24"/>
          <w:szCs w:val="24"/>
        </w:rPr>
        <w:t>7</w:t>
      </w:r>
      <w:r w:rsidR="00823355" w:rsidRPr="00114AD7">
        <w:rPr>
          <w:noProof/>
          <w:sz w:val="24"/>
          <w:szCs w:val="24"/>
        </w:rPr>
        <w:t>(3): e33820. doi: 10.1371/journal.pone.0033820</w:t>
      </w:r>
    </w:p>
    <w:p w14:paraId="32C522FE" w14:textId="77777777" w:rsidR="00CA19DA" w:rsidRPr="00114AD7" w:rsidRDefault="00CA19DA" w:rsidP="00CA19DA">
      <w:pPr>
        <w:pStyle w:val="NormalWeb"/>
        <w:ind w:left="480" w:hanging="480"/>
        <w:rPr>
          <w:noProof/>
          <w:sz w:val="24"/>
          <w:szCs w:val="24"/>
        </w:rPr>
      </w:pPr>
      <w:r w:rsidRPr="00114AD7">
        <w:rPr>
          <w:noProof/>
          <w:sz w:val="24"/>
          <w:szCs w:val="24"/>
        </w:rPr>
        <w:t xml:space="preserve">Mohanty, P., Hamouda, W., Garg, R., Aljada, A., Ghanim, H., &amp; Dandona, P. (2000). Glucose challenge stimulates reactive oxygen species (ROS) generation by leucocytes. </w:t>
      </w:r>
      <w:r w:rsidRPr="00114AD7">
        <w:rPr>
          <w:i/>
          <w:iCs/>
          <w:noProof/>
          <w:sz w:val="24"/>
          <w:szCs w:val="24"/>
        </w:rPr>
        <w:t>The Journal of Clinical Endocrinology and Metabolism</w:t>
      </w:r>
      <w:r w:rsidRPr="00114AD7">
        <w:rPr>
          <w:noProof/>
          <w:sz w:val="24"/>
          <w:szCs w:val="24"/>
        </w:rPr>
        <w:t xml:space="preserve">, </w:t>
      </w:r>
      <w:r w:rsidRPr="00114AD7">
        <w:rPr>
          <w:i/>
          <w:iCs/>
          <w:noProof/>
          <w:sz w:val="24"/>
          <w:szCs w:val="24"/>
        </w:rPr>
        <w:t>85</w:t>
      </w:r>
      <w:r w:rsidRPr="00114AD7">
        <w:rPr>
          <w:noProof/>
          <w:sz w:val="24"/>
          <w:szCs w:val="24"/>
        </w:rPr>
        <w:t>(8), 2970–2973.</w:t>
      </w:r>
    </w:p>
    <w:p w14:paraId="4FDC27F0" w14:textId="694A8F4E" w:rsidR="00CA19DA" w:rsidRPr="00114AD7" w:rsidRDefault="00CA19DA" w:rsidP="00CA19DA">
      <w:pPr>
        <w:pStyle w:val="NormalWeb"/>
        <w:ind w:left="480" w:hanging="480"/>
        <w:rPr>
          <w:noProof/>
          <w:sz w:val="24"/>
          <w:szCs w:val="24"/>
        </w:rPr>
      </w:pPr>
      <w:r w:rsidRPr="00114AD7">
        <w:rPr>
          <w:noProof/>
          <w:sz w:val="24"/>
          <w:szCs w:val="24"/>
        </w:rPr>
        <w:t>Nakamura, Y., Ohigashi, H., Masuda, S., Murakami, A.</w:t>
      </w:r>
      <w:r w:rsidR="00A10CC1">
        <w:rPr>
          <w:noProof/>
          <w:sz w:val="24"/>
          <w:szCs w:val="24"/>
        </w:rPr>
        <w:t>, Morimitsu, Y., Kawamoto, Y., Osawa, T., Imagawa, M. &amp;</w:t>
      </w:r>
      <w:r w:rsidRPr="00114AD7">
        <w:rPr>
          <w:noProof/>
          <w:sz w:val="24"/>
          <w:szCs w:val="24"/>
        </w:rPr>
        <w:t xml:space="preserve"> Uchida, K. (2000). Redox Regulation of Glutathione S -Transferase Induction by Benzyl Isothiocyanate</w:t>
      </w:r>
      <w:r w:rsidRPr="00114AD7">
        <w:rPr>
          <w:rFonts w:ascii="Times New Roman" w:hAnsi="Times New Roman"/>
          <w:noProof/>
          <w:sz w:val="24"/>
          <w:szCs w:val="24"/>
        </w:rPr>
        <w:t> </w:t>
      </w:r>
      <w:r w:rsidRPr="00114AD7">
        <w:rPr>
          <w:noProof/>
          <w:sz w:val="24"/>
          <w:szCs w:val="24"/>
        </w:rPr>
        <w:t xml:space="preserve">: Correlation of Enzyme Induction with the Formation of Reactive Oxygen Intermediates Advances in Brief Redox Regulation of Glutathione S -Transferase Induction by Benzyl Is. </w:t>
      </w:r>
      <w:r w:rsidRPr="00114AD7">
        <w:rPr>
          <w:i/>
          <w:iCs/>
          <w:noProof/>
          <w:sz w:val="24"/>
          <w:szCs w:val="24"/>
        </w:rPr>
        <w:t>Cancer Research</w:t>
      </w:r>
      <w:r w:rsidRPr="00114AD7">
        <w:rPr>
          <w:noProof/>
          <w:sz w:val="24"/>
          <w:szCs w:val="24"/>
        </w:rPr>
        <w:t xml:space="preserve">, </w:t>
      </w:r>
      <w:r w:rsidRPr="00114AD7">
        <w:rPr>
          <w:i/>
          <w:iCs/>
          <w:noProof/>
          <w:sz w:val="24"/>
          <w:szCs w:val="24"/>
        </w:rPr>
        <w:t>60</w:t>
      </w:r>
      <w:r w:rsidRPr="00114AD7">
        <w:rPr>
          <w:noProof/>
          <w:sz w:val="24"/>
          <w:szCs w:val="24"/>
        </w:rPr>
        <w:t>, 219–225.</w:t>
      </w:r>
    </w:p>
    <w:p w14:paraId="4BF50ED5" w14:textId="603949A4" w:rsidR="00CA19DA" w:rsidRPr="00114AD7" w:rsidRDefault="00CA19DA" w:rsidP="00CA19DA">
      <w:pPr>
        <w:pStyle w:val="NormalWeb"/>
        <w:ind w:left="480" w:hanging="480"/>
        <w:rPr>
          <w:noProof/>
          <w:sz w:val="24"/>
          <w:szCs w:val="24"/>
        </w:rPr>
      </w:pPr>
      <w:r w:rsidRPr="00114AD7">
        <w:rPr>
          <w:noProof/>
          <w:sz w:val="24"/>
          <w:szCs w:val="24"/>
        </w:rPr>
        <w:t xml:space="preserve">Sharma, R., Yang, Y., Sharma, A., Awasthi, S., &amp; Awasthi, Y. C. (2004). Antioxidant role of glutathione S-transferases: protection against oxidant toxicity and regulation of stress-mediated apoptosis. </w:t>
      </w:r>
      <w:r w:rsidRPr="00114AD7">
        <w:rPr>
          <w:i/>
          <w:iCs/>
          <w:noProof/>
          <w:sz w:val="24"/>
          <w:szCs w:val="24"/>
        </w:rPr>
        <w:t>Antioxidants &amp; redox signaling</w:t>
      </w:r>
      <w:r w:rsidRPr="00114AD7">
        <w:rPr>
          <w:noProof/>
          <w:sz w:val="24"/>
          <w:szCs w:val="24"/>
        </w:rPr>
        <w:t xml:space="preserve">, </w:t>
      </w:r>
      <w:r w:rsidRPr="00114AD7">
        <w:rPr>
          <w:i/>
          <w:iCs/>
          <w:noProof/>
          <w:sz w:val="24"/>
          <w:szCs w:val="24"/>
        </w:rPr>
        <w:t>6</w:t>
      </w:r>
      <w:r w:rsidRPr="00114AD7">
        <w:rPr>
          <w:noProof/>
          <w:sz w:val="24"/>
          <w:szCs w:val="24"/>
        </w:rPr>
        <w:t xml:space="preserve">(2), 289–300. </w:t>
      </w:r>
    </w:p>
    <w:p w14:paraId="1D11C37F" w14:textId="1C5B7469" w:rsidR="00130429" w:rsidRPr="00114AD7" w:rsidRDefault="00130429" w:rsidP="00130429">
      <w:pPr>
        <w:pStyle w:val="NormalWeb"/>
        <w:ind w:left="480" w:hanging="480"/>
        <w:rPr>
          <w:noProof/>
          <w:sz w:val="24"/>
          <w:szCs w:val="24"/>
        </w:rPr>
      </w:pPr>
      <w:r w:rsidRPr="00114AD7">
        <w:rPr>
          <w:noProof/>
          <w:sz w:val="24"/>
          <w:szCs w:val="24"/>
        </w:rPr>
        <w:t xml:space="preserve">Thomsen, J., Casties, I., Pansch, C., Körtzinger, A., &amp; Melzner, F. (2013). Food availability outweighs ocean acidification effects in juvenile Mytilus edulis: laboratory and field experiments. </w:t>
      </w:r>
      <w:r w:rsidRPr="00114AD7">
        <w:rPr>
          <w:i/>
          <w:iCs/>
          <w:noProof/>
          <w:sz w:val="24"/>
          <w:szCs w:val="24"/>
        </w:rPr>
        <w:t>Global change biology</w:t>
      </w:r>
      <w:r w:rsidRPr="00114AD7">
        <w:rPr>
          <w:noProof/>
          <w:sz w:val="24"/>
          <w:szCs w:val="24"/>
        </w:rPr>
        <w:t xml:space="preserve">, </w:t>
      </w:r>
      <w:r w:rsidRPr="00114AD7">
        <w:rPr>
          <w:i/>
          <w:iCs/>
          <w:noProof/>
          <w:sz w:val="24"/>
          <w:szCs w:val="24"/>
        </w:rPr>
        <w:t>19</w:t>
      </w:r>
      <w:r w:rsidRPr="00114AD7">
        <w:rPr>
          <w:noProof/>
          <w:sz w:val="24"/>
          <w:szCs w:val="24"/>
        </w:rPr>
        <w:t>(4), 1017–27. doi:10.1111/gcb.12109</w:t>
      </w:r>
    </w:p>
    <w:p w14:paraId="5BD7DE88" w14:textId="18016A44" w:rsidR="00823355" w:rsidRPr="00114AD7" w:rsidRDefault="00823355" w:rsidP="00CA19DA">
      <w:pPr>
        <w:pStyle w:val="NormalWeb"/>
        <w:ind w:left="480" w:hanging="480"/>
        <w:rPr>
          <w:noProof/>
          <w:sz w:val="24"/>
          <w:szCs w:val="24"/>
        </w:rPr>
      </w:pPr>
      <w:r w:rsidRPr="00114AD7">
        <w:rPr>
          <w:noProof/>
          <w:sz w:val="24"/>
          <w:szCs w:val="24"/>
        </w:rPr>
        <w:t xml:space="preserve">Todgham, A.E., and Hofmann, G.E. (2009). Transcriptomic response of sea urchin larvae </w:t>
      </w:r>
      <w:r w:rsidRPr="00114AD7">
        <w:rPr>
          <w:i/>
          <w:noProof/>
          <w:sz w:val="24"/>
          <w:szCs w:val="24"/>
        </w:rPr>
        <w:t>Strongylocentrotus purpuratus</w:t>
      </w:r>
      <w:r w:rsidRPr="00114AD7">
        <w:rPr>
          <w:noProof/>
          <w:sz w:val="24"/>
          <w:szCs w:val="24"/>
        </w:rPr>
        <w:t xml:space="preserve"> to CO</w:t>
      </w:r>
      <w:r w:rsidRPr="00114AD7">
        <w:rPr>
          <w:noProof/>
          <w:sz w:val="24"/>
          <w:szCs w:val="24"/>
          <w:vertAlign w:val="subscript"/>
        </w:rPr>
        <w:t>2</w:t>
      </w:r>
      <w:r w:rsidRPr="00114AD7">
        <w:rPr>
          <w:noProof/>
          <w:sz w:val="24"/>
          <w:szCs w:val="24"/>
        </w:rPr>
        <w:t xml:space="preserve">-driven seawater acidification. </w:t>
      </w:r>
      <w:r w:rsidRPr="00114AD7">
        <w:rPr>
          <w:i/>
          <w:noProof/>
          <w:sz w:val="24"/>
          <w:szCs w:val="24"/>
        </w:rPr>
        <w:t>The Journal of Experimental Biology</w:t>
      </w:r>
      <w:r w:rsidRPr="00114AD7">
        <w:rPr>
          <w:noProof/>
          <w:sz w:val="24"/>
          <w:szCs w:val="24"/>
        </w:rPr>
        <w:t xml:space="preserve">, </w:t>
      </w:r>
      <w:r w:rsidRPr="00114AD7">
        <w:rPr>
          <w:i/>
          <w:noProof/>
          <w:sz w:val="24"/>
          <w:szCs w:val="24"/>
        </w:rPr>
        <w:t>212</w:t>
      </w:r>
      <w:r w:rsidRPr="00114AD7">
        <w:rPr>
          <w:noProof/>
          <w:sz w:val="24"/>
          <w:szCs w:val="24"/>
        </w:rPr>
        <w:t>, 2579-2594.</w:t>
      </w:r>
    </w:p>
    <w:p w14:paraId="1346E9C2" w14:textId="77777777" w:rsidR="00CA19DA" w:rsidRPr="00114AD7" w:rsidRDefault="00CA19DA" w:rsidP="00CA19DA">
      <w:pPr>
        <w:pStyle w:val="NormalWeb"/>
        <w:ind w:left="480" w:hanging="480"/>
        <w:rPr>
          <w:noProof/>
          <w:sz w:val="24"/>
          <w:szCs w:val="24"/>
        </w:rPr>
      </w:pPr>
      <w:r w:rsidRPr="00114AD7">
        <w:rPr>
          <w:noProof/>
          <w:sz w:val="24"/>
          <w:szCs w:val="24"/>
        </w:rPr>
        <w:t xml:space="preserve">Tomanek, L., Zuzow, M. J., Ivanina, A. V, Beniash, E., &amp; Sokolova, I. M. (2011). Proteomic response to elevated PCO2 level in eastern oysters, Crassostrea virginica: evidence for oxidative stress. </w:t>
      </w:r>
      <w:r w:rsidRPr="00114AD7">
        <w:rPr>
          <w:i/>
          <w:iCs/>
          <w:noProof/>
          <w:sz w:val="24"/>
          <w:szCs w:val="24"/>
        </w:rPr>
        <w:t>The Journal of experimental biology</w:t>
      </w:r>
      <w:r w:rsidRPr="00114AD7">
        <w:rPr>
          <w:noProof/>
          <w:sz w:val="24"/>
          <w:szCs w:val="24"/>
        </w:rPr>
        <w:t xml:space="preserve">, </w:t>
      </w:r>
      <w:r w:rsidRPr="00114AD7">
        <w:rPr>
          <w:i/>
          <w:iCs/>
          <w:noProof/>
          <w:sz w:val="24"/>
          <w:szCs w:val="24"/>
        </w:rPr>
        <w:t>214</w:t>
      </w:r>
      <w:r w:rsidRPr="00114AD7">
        <w:rPr>
          <w:noProof/>
          <w:sz w:val="24"/>
          <w:szCs w:val="24"/>
        </w:rPr>
        <w:t>(Pt 11), 1836–44. doi:10.1242/jeb.055475</w:t>
      </w:r>
    </w:p>
    <w:p w14:paraId="22826BEE" w14:textId="77777777" w:rsidR="00CA19DA" w:rsidRPr="00114AD7" w:rsidRDefault="00CA19DA" w:rsidP="00CA19DA">
      <w:pPr>
        <w:pStyle w:val="NormalWeb"/>
        <w:ind w:left="480" w:hanging="480"/>
        <w:rPr>
          <w:noProof/>
          <w:sz w:val="24"/>
          <w:szCs w:val="24"/>
        </w:rPr>
      </w:pPr>
      <w:r w:rsidRPr="00114AD7">
        <w:rPr>
          <w:noProof/>
          <w:sz w:val="24"/>
          <w:szCs w:val="24"/>
        </w:rPr>
        <w:t xml:space="preserve">Wu, C., Zhang, W., Mai, K., Xu, W., &amp; Zhong, X. (2011). Effects of dietary zinc on gene expression of antioxidant enzymes and heat shock proteins in hepatopancreas of abalone Haliotis discus hannai. </w:t>
      </w:r>
      <w:r w:rsidRPr="00114AD7">
        <w:rPr>
          <w:i/>
          <w:iCs/>
          <w:noProof/>
          <w:sz w:val="24"/>
          <w:szCs w:val="24"/>
        </w:rPr>
        <w:t>Comparative biochemistry and physiology. Toxicology &amp; pharmacology</w:t>
      </w:r>
      <w:r w:rsidRPr="00114AD7">
        <w:rPr>
          <w:rFonts w:ascii="Times New Roman" w:hAnsi="Times New Roman"/>
          <w:i/>
          <w:iCs/>
          <w:noProof/>
          <w:sz w:val="24"/>
          <w:szCs w:val="24"/>
        </w:rPr>
        <w:t> </w:t>
      </w:r>
      <w:r w:rsidRPr="00114AD7">
        <w:rPr>
          <w:i/>
          <w:iCs/>
          <w:noProof/>
          <w:sz w:val="24"/>
          <w:szCs w:val="24"/>
        </w:rPr>
        <w:t>: CBP</w:t>
      </w:r>
      <w:r w:rsidRPr="00114AD7">
        <w:rPr>
          <w:noProof/>
          <w:sz w:val="24"/>
          <w:szCs w:val="24"/>
        </w:rPr>
        <w:t xml:space="preserve">, </w:t>
      </w:r>
      <w:r w:rsidRPr="00114AD7">
        <w:rPr>
          <w:i/>
          <w:iCs/>
          <w:noProof/>
          <w:sz w:val="24"/>
          <w:szCs w:val="24"/>
        </w:rPr>
        <w:t>154</w:t>
      </w:r>
      <w:r w:rsidRPr="00114AD7">
        <w:rPr>
          <w:noProof/>
          <w:sz w:val="24"/>
          <w:szCs w:val="24"/>
        </w:rPr>
        <w:t>(1), 1–6. doi:10.1016/j.cbpc.2011.03.003</w:t>
      </w:r>
    </w:p>
    <w:p w14:paraId="0052750C" w14:textId="77777777" w:rsidR="00CB5AAE" w:rsidRDefault="00CB5AAE" w:rsidP="00CB5AAE">
      <w:pPr>
        <w:rPr>
          <w:noProof/>
        </w:rPr>
      </w:pPr>
    </w:p>
    <w:p w14:paraId="7660FCB6" w14:textId="77777777" w:rsidR="00CB5AAE" w:rsidRDefault="00CB5AAE" w:rsidP="00CB5AAE">
      <w:pPr>
        <w:rPr>
          <w:noProof/>
        </w:rPr>
      </w:pPr>
    </w:p>
    <w:p w14:paraId="01CBCA88" w14:textId="77777777" w:rsidR="00CB5AAE" w:rsidRDefault="00CB5AAE" w:rsidP="00CB5AAE">
      <w:pPr>
        <w:rPr>
          <w:noProof/>
        </w:rPr>
      </w:pPr>
    </w:p>
    <w:p w14:paraId="02258160" w14:textId="77777777" w:rsidR="00CB5AAE" w:rsidRDefault="00CB5AAE" w:rsidP="00CB5AAE">
      <w:pPr>
        <w:rPr>
          <w:noProof/>
        </w:rPr>
      </w:pPr>
    </w:p>
    <w:p w14:paraId="73E0FBAB" w14:textId="77777777" w:rsidR="00CB5AAE" w:rsidRDefault="00CB5AAE" w:rsidP="00CB5AAE">
      <w:pPr>
        <w:rPr>
          <w:noProof/>
        </w:rPr>
      </w:pPr>
    </w:p>
    <w:p w14:paraId="1923BE03" w14:textId="77777777" w:rsidR="00CB5AAE" w:rsidRDefault="00CB5AAE" w:rsidP="00CB5AAE">
      <w:pPr>
        <w:rPr>
          <w:noProof/>
        </w:rPr>
      </w:pPr>
    </w:p>
    <w:p w14:paraId="0B3D44D9" w14:textId="77777777" w:rsidR="00CB5AAE" w:rsidRDefault="00CB5AAE" w:rsidP="00CB5AAE">
      <w:pPr>
        <w:rPr>
          <w:noProof/>
        </w:rPr>
      </w:pPr>
    </w:p>
    <w:p w14:paraId="4886DE72" w14:textId="77777777" w:rsidR="00CB5AAE" w:rsidRDefault="00CB5AAE" w:rsidP="00CB5AAE">
      <w:pPr>
        <w:rPr>
          <w:noProof/>
        </w:rPr>
      </w:pPr>
    </w:p>
    <w:p w14:paraId="79109C4B" w14:textId="77777777" w:rsidR="00CB5AAE" w:rsidRDefault="00CB5AAE" w:rsidP="00CB5AAE">
      <w:pPr>
        <w:rPr>
          <w:noProof/>
        </w:rPr>
      </w:pPr>
    </w:p>
    <w:p w14:paraId="0D48E422" w14:textId="77777777" w:rsidR="00CB5AAE" w:rsidRDefault="00CB5AAE" w:rsidP="00CB5AAE">
      <w:pPr>
        <w:rPr>
          <w:noProof/>
        </w:rPr>
      </w:pPr>
    </w:p>
    <w:p w14:paraId="40649BA2" w14:textId="77777777" w:rsidR="00CB5AAE" w:rsidRDefault="00CB5AAE" w:rsidP="00CB5AAE">
      <w:pPr>
        <w:rPr>
          <w:noProof/>
        </w:rPr>
      </w:pPr>
    </w:p>
    <w:p w14:paraId="6EB360ED" w14:textId="77777777" w:rsidR="00CB5AAE" w:rsidRDefault="00CB5AAE" w:rsidP="00CB5AAE">
      <w:pPr>
        <w:rPr>
          <w:noProof/>
        </w:rPr>
      </w:pPr>
    </w:p>
    <w:p w14:paraId="239B5AB9" w14:textId="77777777" w:rsidR="00CB5AAE" w:rsidRDefault="00CB5AAE" w:rsidP="00CB5AAE">
      <w:pPr>
        <w:rPr>
          <w:noProof/>
        </w:rPr>
      </w:pPr>
    </w:p>
    <w:p w14:paraId="19F43F47" w14:textId="77777777" w:rsidR="00CB5AAE" w:rsidRDefault="00CB5AAE" w:rsidP="00CB5AAE">
      <w:pPr>
        <w:rPr>
          <w:noProof/>
        </w:rPr>
      </w:pPr>
    </w:p>
    <w:p w14:paraId="6B1FC24E" w14:textId="77777777" w:rsidR="007245FE" w:rsidRDefault="007245FE" w:rsidP="00CB5AAE">
      <w:pPr>
        <w:pStyle w:val="Heading1"/>
        <w:rPr>
          <w:noProof/>
        </w:rPr>
      </w:pPr>
    </w:p>
    <w:p w14:paraId="3C6E2764" w14:textId="77777777" w:rsidR="007245FE" w:rsidRDefault="007245FE" w:rsidP="00CB5AAE">
      <w:pPr>
        <w:pStyle w:val="Heading1"/>
        <w:rPr>
          <w:noProof/>
        </w:rPr>
      </w:pPr>
    </w:p>
    <w:p w14:paraId="68EA074F" w14:textId="77777777" w:rsidR="007245FE" w:rsidRDefault="007245FE" w:rsidP="00CB5AAE">
      <w:pPr>
        <w:pStyle w:val="Heading1"/>
        <w:rPr>
          <w:noProof/>
        </w:rPr>
      </w:pPr>
    </w:p>
    <w:p w14:paraId="752755AF" w14:textId="77777777" w:rsidR="007245FE" w:rsidRDefault="007245FE" w:rsidP="00CB5AAE">
      <w:pPr>
        <w:pStyle w:val="Heading1"/>
        <w:rPr>
          <w:noProof/>
        </w:rPr>
      </w:pPr>
    </w:p>
    <w:p w14:paraId="010F21AD" w14:textId="77777777" w:rsidR="007245FE" w:rsidRDefault="007245FE" w:rsidP="007245FE">
      <w:pPr>
        <w:rPr>
          <w:noProof/>
        </w:rPr>
      </w:pPr>
    </w:p>
    <w:p w14:paraId="3C8B8A24" w14:textId="77777777" w:rsidR="007245FE" w:rsidRDefault="007245FE" w:rsidP="007245FE">
      <w:pPr>
        <w:rPr>
          <w:noProof/>
        </w:rPr>
      </w:pPr>
    </w:p>
    <w:p w14:paraId="0B6A31F1" w14:textId="040A91E4" w:rsidR="00590C70" w:rsidRDefault="00590C70" w:rsidP="007245FE">
      <w:pPr>
        <w:pStyle w:val="Heading1"/>
        <w:rPr>
          <w:noProof/>
        </w:rPr>
      </w:pPr>
      <w:bookmarkStart w:id="105" w:name="_Toc257278847"/>
      <w:r>
        <w:rPr>
          <w:noProof/>
        </w:rPr>
        <w:t xml:space="preserve">Appendix B: Histological Investigations into the Effects of </w:t>
      </w:r>
      <w:r w:rsidRPr="00590C70">
        <w:rPr>
          <w:i/>
          <w:noProof/>
        </w:rPr>
        <w:t>p</w:t>
      </w:r>
      <w:r>
        <w:rPr>
          <w:noProof/>
        </w:rPr>
        <w:t>CO</w:t>
      </w:r>
      <w:r w:rsidRPr="00590C70">
        <w:rPr>
          <w:noProof/>
          <w:vertAlign w:val="subscript"/>
        </w:rPr>
        <w:t>2</w:t>
      </w:r>
      <w:r>
        <w:rPr>
          <w:noProof/>
        </w:rPr>
        <w:t xml:space="preserve"> and a second stressor in Pacific Oysters</w:t>
      </w:r>
      <w:bookmarkEnd w:id="105"/>
    </w:p>
    <w:p w14:paraId="7D454B4D" w14:textId="77777777" w:rsidR="00E31863" w:rsidRDefault="00E31863" w:rsidP="00E31863"/>
    <w:p w14:paraId="6666BD56" w14:textId="0E7A6988" w:rsidR="00E31863" w:rsidRPr="00114AD7" w:rsidRDefault="00E31863" w:rsidP="00E31863">
      <w:pPr>
        <w:rPr>
          <w:rFonts w:ascii="Times" w:hAnsi="Times"/>
        </w:rPr>
      </w:pPr>
      <w:r w:rsidRPr="00114AD7">
        <w:rPr>
          <w:rFonts w:ascii="Times" w:hAnsi="Times"/>
        </w:rPr>
        <w:t>Histology analysis done by Jessica Blanchette</w:t>
      </w:r>
    </w:p>
    <w:p w14:paraId="248B992B" w14:textId="77777777" w:rsidR="00590C70" w:rsidRDefault="00590C70" w:rsidP="00590C70"/>
    <w:p w14:paraId="1A7FC916" w14:textId="6D2BD9A2" w:rsidR="00590C70" w:rsidRDefault="00590C70" w:rsidP="00590C70">
      <w:pPr>
        <w:pStyle w:val="Heading2"/>
      </w:pPr>
      <w:bookmarkStart w:id="106" w:name="_Toc257278848"/>
      <w:r>
        <w:t>Introduction</w:t>
      </w:r>
      <w:bookmarkEnd w:id="106"/>
    </w:p>
    <w:p w14:paraId="7B5B34D9" w14:textId="77777777" w:rsidR="00534DA8" w:rsidRPr="00534DA8" w:rsidRDefault="00534DA8" w:rsidP="00534DA8"/>
    <w:p w14:paraId="1D0CDBE4" w14:textId="57077491" w:rsidR="002F09AA" w:rsidRPr="00114AD7" w:rsidRDefault="002F09AA" w:rsidP="00534DA8">
      <w:pPr>
        <w:spacing w:line="360" w:lineRule="auto"/>
        <w:rPr>
          <w:rFonts w:ascii="Times" w:hAnsi="Times"/>
        </w:rPr>
      </w:pPr>
      <w:r>
        <w:tab/>
      </w:r>
      <w:r w:rsidR="00534DA8" w:rsidRPr="00114AD7">
        <w:rPr>
          <w:rFonts w:ascii="Times" w:hAnsi="Times"/>
        </w:rPr>
        <w:t xml:space="preserve">Intertidal species have evolved in a notoriously variable and stressful environment in which they frequently encounter conditions that are near the limit </w:t>
      </w:r>
      <w:r w:rsidR="0008341D" w:rsidRPr="00114AD7">
        <w:rPr>
          <w:rFonts w:ascii="Times" w:hAnsi="Times"/>
        </w:rPr>
        <w:t>of</w:t>
      </w:r>
      <w:r w:rsidR="00534DA8" w:rsidRPr="00114AD7">
        <w:rPr>
          <w:rFonts w:ascii="Times" w:hAnsi="Times"/>
        </w:rPr>
        <w:t xml:space="preserve"> their range of</w:t>
      </w:r>
      <w:r w:rsidR="006F283A" w:rsidRPr="00114AD7">
        <w:rPr>
          <w:rFonts w:ascii="Times" w:hAnsi="Times"/>
        </w:rPr>
        <w:t xml:space="preserve"> physiological function (Somero 2002</w:t>
      </w:r>
      <w:r w:rsidR="00534DA8" w:rsidRPr="00114AD7">
        <w:rPr>
          <w:rFonts w:ascii="Times" w:hAnsi="Times"/>
        </w:rPr>
        <w:t xml:space="preserve">).  Climate change may push intertidal species beyond </w:t>
      </w:r>
      <w:r w:rsidR="0008341D" w:rsidRPr="00114AD7">
        <w:rPr>
          <w:rFonts w:ascii="Times" w:hAnsi="Times"/>
        </w:rPr>
        <w:t xml:space="preserve">this range </w:t>
      </w:r>
      <w:r w:rsidR="00534DA8" w:rsidRPr="00114AD7">
        <w:rPr>
          <w:rFonts w:ascii="Times" w:hAnsi="Times"/>
        </w:rPr>
        <w:t>to the point of physiological damage</w:t>
      </w:r>
      <w:r w:rsidR="0081407C" w:rsidRPr="00114AD7">
        <w:rPr>
          <w:rFonts w:ascii="Times" w:hAnsi="Times"/>
        </w:rPr>
        <w:t>, or these species may be uniquely adapted to withstand environmental change</w:t>
      </w:r>
      <w:r w:rsidRPr="00114AD7">
        <w:rPr>
          <w:rFonts w:ascii="Times" w:hAnsi="Times"/>
        </w:rPr>
        <w:t>.</w:t>
      </w:r>
      <w:r w:rsidR="00534DA8" w:rsidRPr="00114AD7">
        <w:rPr>
          <w:rFonts w:ascii="Times" w:hAnsi="Times"/>
        </w:rPr>
        <w:t xml:space="preserve">  Many processes that are </w:t>
      </w:r>
      <w:r w:rsidR="0008341D" w:rsidRPr="00114AD7">
        <w:rPr>
          <w:rFonts w:ascii="Times" w:hAnsi="Times"/>
        </w:rPr>
        <w:t>part of the</w:t>
      </w:r>
      <w:r w:rsidR="00534DA8" w:rsidRPr="00114AD7">
        <w:rPr>
          <w:rFonts w:ascii="Times" w:hAnsi="Times"/>
        </w:rPr>
        <w:t xml:space="preserve"> response to average fluctuations in the intertidal could be </w:t>
      </w:r>
      <w:r w:rsidR="0008341D" w:rsidRPr="00114AD7">
        <w:rPr>
          <w:rFonts w:ascii="Times" w:hAnsi="Times"/>
        </w:rPr>
        <w:t>affected</w:t>
      </w:r>
      <w:r w:rsidR="00534DA8" w:rsidRPr="00114AD7">
        <w:rPr>
          <w:rFonts w:ascii="Times" w:hAnsi="Times"/>
        </w:rPr>
        <w:t xml:space="preserve"> in the physiological response to future climate scenarios.</w:t>
      </w:r>
      <w:r w:rsidRPr="00114AD7">
        <w:rPr>
          <w:rFonts w:ascii="Times" w:hAnsi="Times"/>
        </w:rPr>
        <w:t xml:space="preserve">  </w:t>
      </w:r>
      <w:r w:rsidR="006F283A" w:rsidRPr="00114AD7">
        <w:rPr>
          <w:rFonts w:ascii="Times" w:hAnsi="Times"/>
        </w:rPr>
        <w:t>Cuboidal m</w:t>
      </w:r>
      <w:r w:rsidR="00534DA8" w:rsidRPr="00114AD7">
        <w:rPr>
          <w:rFonts w:ascii="Times" w:hAnsi="Times"/>
        </w:rPr>
        <w:t>etaplasia of digestive tubules</w:t>
      </w:r>
      <w:r w:rsidR="006F283A" w:rsidRPr="00114AD7">
        <w:rPr>
          <w:rFonts w:ascii="Times" w:hAnsi="Times"/>
        </w:rPr>
        <w:t>, or digestive diverticula atrophy,</w:t>
      </w:r>
      <w:r w:rsidR="00534DA8" w:rsidRPr="00114AD7">
        <w:rPr>
          <w:rFonts w:ascii="Times" w:hAnsi="Times"/>
        </w:rPr>
        <w:t xml:space="preserve"> is a common occurrence </w:t>
      </w:r>
      <w:r w:rsidR="006F283A" w:rsidRPr="00114AD7">
        <w:rPr>
          <w:rFonts w:ascii="Times" w:hAnsi="Times"/>
        </w:rPr>
        <w:t>in bivalves (Owen 1966)</w:t>
      </w:r>
      <w:r w:rsidR="00534DA8" w:rsidRPr="00114AD7">
        <w:rPr>
          <w:rFonts w:ascii="Times" w:hAnsi="Times"/>
        </w:rPr>
        <w:t xml:space="preserve"> </w:t>
      </w:r>
      <w:r w:rsidR="00E16191" w:rsidRPr="00114AD7">
        <w:rPr>
          <w:rFonts w:ascii="Times" w:hAnsi="Times"/>
        </w:rPr>
        <w:t>and has also been documented in response to environmental stress</w:t>
      </w:r>
      <w:r w:rsidR="00534DA8" w:rsidRPr="00114AD7">
        <w:rPr>
          <w:rFonts w:ascii="Times" w:hAnsi="Times"/>
        </w:rPr>
        <w:t>.</w:t>
      </w:r>
      <w:r w:rsidR="00BE45C8" w:rsidRPr="00114AD7">
        <w:rPr>
          <w:rFonts w:ascii="Times" w:hAnsi="Times"/>
        </w:rPr>
        <w:t xml:space="preserve">  </w:t>
      </w:r>
      <w:r w:rsidR="0045586B" w:rsidRPr="00114AD7">
        <w:rPr>
          <w:rFonts w:ascii="Times" w:hAnsi="Times"/>
        </w:rPr>
        <w:t>Cycles of m</w:t>
      </w:r>
      <w:r w:rsidR="00BE45C8" w:rsidRPr="00114AD7">
        <w:rPr>
          <w:rFonts w:ascii="Times" w:hAnsi="Times"/>
        </w:rPr>
        <w:t>etaplasia of the digestive diverticul</w:t>
      </w:r>
      <w:r w:rsidR="0045586B" w:rsidRPr="00114AD7">
        <w:rPr>
          <w:rFonts w:ascii="Times" w:hAnsi="Times"/>
        </w:rPr>
        <w:t>a can</w:t>
      </w:r>
      <w:r w:rsidR="0008341D" w:rsidRPr="00114AD7">
        <w:rPr>
          <w:rFonts w:ascii="Times" w:hAnsi="Times"/>
        </w:rPr>
        <w:t xml:space="preserve"> also</w:t>
      </w:r>
      <w:r w:rsidR="0045586B" w:rsidRPr="00114AD7">
        <w:rPr>
          <w:rFonts w:ascii="Times" w:hAnsi="Times"/>
        </w:rPr>
        <w:t xml:space="preserve"> </w:t>
      </w:r>
      <w:r w:rsidR="0008341D" w:rsidRPr="00114AD7">
        <w:rPr>
          <w:rFonts w:ascii="Times" w:hAnsi="Times"/>
        </w:rPr>
        <w:t>fluctuate</w:t>
      </w:r>
      <w:r w:rsidR="0045586B" w:rsidRPr="00114AD7">
        <w:rPr>
          <w:rFonts w:ascii="Times" w:hAnsi="Times"/>
        </w:rPr>
        <w:t xml:space="preserve"> seasonally </w:t>
      </w:r>
      <w:r w:rsidR="00534DA8" w:rsidRPr="00114AD7">
        <w:rPr>
          <w:rFonts w:ascii="Times" w:hAnsi="Times"/>
        </w:rPr>
        <w:t>(</w:t>
      </w:r>
      <w:r w:rsidR="0045586B" w:rsidRPr="00114AD7">
        <w:rPr>
          <w:rFonts w:ascii="Times" w:hAnsi="Times"/>
        </w:rPr>
        <w:t xml:space="preserve">Couch 1985; </w:t>
      </w:r>
      <w:r w:rsidR="00534DA8" w:rsidRPr="00114AD7">
        <w:rPr>
          <w:rFonts w:ascii="Times" w:hAnsi="Times"/>
        </w:rPr>
        <w:t>Weis et al. 1995)</w:t>
      </w:r>
      <w:r w:rsidRPr="00114AD7">
        <w:rPr>
          <w:rFonts w:ascii="Times" w:hAnsi="Times"/>
        </w:rPr>
        <w:t xml:space="preserve">.  </w:t>
      </w:r>
      <w:r w:rsidR="00B25B7F" w:rsidRPr="00114AD7">
        <w:rPr>
          <w:rFonts w:ascii="Times" w:hAnsi="Times"/>
        </w:rPr>
        <w:t xml:space="preserve">Increased </w:t>
      </w:r>
      <w:r w:rsidR="006F283A" w:rsidRPr="00114AD7">
        <w:rPr>
          <w:rFonts w:ascii="Times" w:hAnsi="Times"/>
        </w:rPr>
        <w:t xml:space="preserve">cuboidal </w:t>
      </w:r>
      <w:r w:rsidR="00B25B7F" w:rsidRPr="00114AD7">
        <w:rPr>
          <w:rFonts w:ascii="Times" w:hAnsi="Times"/>
        </w:rPr>
        <w:t>m</w:t>
      </w:r>
      <w:r w:rsidR="00040FE7" w:rsidRPr="00114AD7">
        <w:rPr>
          <w:rFonts w:ascii="Times" w:hAnsi="Times"/>
        </w:rPr>
        <w:t xml:space="preserve">etaplasia has been </w:t>
      </w:r>
      <w:r w:rsidR="00BE45C8" w:rsidRPr="00114AD7">
        <w:rPr>
          <w:rFonts w:ascii="Times" w:hAnsi="Times"/>
        </w:rPr>
        <w:t>associated with</w:t>
      </w:r>
      <w:r w:rsidR="00040FE7" w:rsidRPr="00114AD7">
        <w:rPr>
          <w:rFonts w:ascii="Times" w:hAnsi="Times"/>
        </w:rPr>
        <w:t xml:space="preserve"> lesions in </w:t>
      </w:r>
      <w:r w:rsidR="00040FE7" w:rsidRPr="00114AD7">
        <w:rPr>
          <w:rFonts w:ascii="Times" w:hAnsi="Times"/>
          <w:i/>
        </w:rPr>
        <w:t xml:space="preserve">Mytilus edulis </w:t>
      </w:r>
      <w:r w:rsidR="00040FE7" w:rsidRPr="00114AD7">
        <w:rPr>
          <w:rFonts w:ascii="Times" w:hAnsi="Times"/>
        </w:rPr>
        <w:t>(Lowe and Moore 1979)</w:t>
      </w:r>
      <w:r w:rsidR="00BB44A9" w:rsidRPr="00114AD7">
        <w:rPr>
          <w:rFonts w:ascii="Times" w:hAnsi="Times"/>
        </w:rPr>
        <w:t xml:space="preserve">, </w:t>
      </w:r>
      <w:r w:rsidR="00A15736" w:rsidRPr="00114AD7">
        <w:rPr>
          <w:rFonts w:ascii="Times" w:hAnsi="Times"/>
          <w:i/>
        </w:rPr>
        <w:t>Crassostrea rhizophorae</w:t>
      </w:r>
      <w:r w:rsidR="00BB44A9" w:rsidRPr="00114AD7">
        <w:rPr>
          <w:rFonts w:ascii="Times" w:hAnsi="Times"/>
        </w:rPr>
        <w:t xml:space="preserve"> die-offs (</w:t>
      </w:r>
      <w:r w:rsidR="00A15736" w:rsidRPr="00114AD7">
        <w:rPr>
          <w:rFonts w:ascii="Times" w:hAnsi="Times"/>
        </w:rPr>
        <w:t>Nascimento et al. 1986)</w:t>
      </w:r>
      <w:r w:rsidR="00BE45C8" w:rsidRPr="00114AD7">
        <w:rPr>
          <w:rFonts w:ascii="Times" w:hAnsi="Times"/>
        </w:rPr>
        <w:t xml:space="preserve">, </w:t>
      </w:r>
      <w:r w:rsidR="00BE45C8" w:rsidRPr="00114AD7">
        <w:rPr>
          <w:rFonts w:ascii="Times" w:hAnsi="Times"/>
          <w:i/>
        </w:rPr>
        <w:t xml:space="preserve">Crassostrea virginica </w:t>
      </w:r>
      <w:r w:rsidR="00BE45C8" w:rsidRPr="00114AD7">
        <w:rPr>
          <w:rFonts w:ascii="Times" w:hAnsi="Times"/>
        </w:rPr>
        <w:t>exposure to environmental pollutants (Weis et al. 1995)</w:t>
      </w:r>
      <w:r w:rsidR="00C15026" w:rsidRPr="00114AD7">
        <w:rPr>
          <w:rFonts w:ascii="Times" w:hAnsi="Times"/>
        </w:rPr>
        <w:t xml:space="preserve">, and starvation in </w:t>
      </w:r>
      <w:r w:rsidR="00C15026" w:rsidRPr="00114AD7">
        <w:rPr>
          <w:rFonts w:ascii="Times" w:hAnsi="Times"/>
          <w:i/>
        </w:rPr>
        <w:t xml:space="preserve">C. virginica </w:t>
      </w:r>
      <w:r w:rsidR="00C15026" w:rsidRPr="00114AD7">
        <w:rPr>
          <w:rFonts w:ascii="Times" w:hAnsi="Times"/>
        </w:rPr>
        <w:t>(Winstead 1995)</w:t>
      </w:r>
      <w:r w:rsidR="00BE45C8" w:rsidRPr="00114AD7">
        <w:rPr>
          <w:rFonts w:ascii="Times" w:hAnsi="Times"/>
        </w:rPr>
        <w:t>.</w:t>
      </w:r>
    </w:p>
    <w:p w14:paraId="335208E4" w14:textId="113F1130" w:rsidR="00590C70" w:rsidRPr="00114AD7" w:rsidRDefault="002F09AA" w:rsidP="00534DA8">
      <w:pPr>
        <w:spacing w:line="360" w:lineRule="auto"/>
        <w:ind w:firstLine="720"/>
        <w:rPr>
          <w:rFonts w:ascii="Times" w:hAnsi="Times"/>
        </w:rPr>
      </w:pPr>
      <w:r w:rsidRPr="00114AD7">
        <w:rPr>
          <w:rFonts w:ascii="Times" w:hAnsi="Times"/>
        </w:rPr>
        <w:t xml:space="preserve">This study investigates future ocean </w:t>
      </w:r>
      <w:r w:rsidR="00B25B7F" w:rsidRPr="00114AD7">
        <w:rPr>
          <w:rFonts w:ascii="Times" w:hAnsi="Times"/>
        </w:rPr>
        <w:t>pH (ocean acidification) e</w:t>
      </w:r>
      <w:r w:rsidR="00FD2D98" w:rsidRPr="00114AD7">
        <w:rPr>
          <w:rFonts w:ascii="Times" w:hAnsi="Times"/>
        </w:rPr>
        <w:t>ffects</w:t>
      </w:r>
      <w:r w:rsidR="00B25B7F" w:rsidRPr="00114AD7">
        <w:rPr>
          <w:rFonts w:ascii="Times" w:hAnsi="Times"/>
        </w:rPr>
        <w:t xml:space="preserve"> on digestive tubule </w:t>
      </w:r>
      <w:r w:rsidR="006F283A" w:rsidRPr="00114AD7">
        <w:rPr>
          <w:rFonts w:ascii="Times" w:hAnsi="Times"/>
        </w:rPr>
        <w:t xml:space="preserve">cuboidal </w:t>
      </w:r>
      <w:r w:rsidR="00B25B7F" w:rsidRPr="00114AD7">
        <w:rPr>
          <w:rFonts w:ascii="Times" w:hAnsi="Times"/>
        </w:rPr>
        <w:t xml:space="preserve">metaplasia in the </w:t>
      </w:r>
      <w:r w:rsidR="00FD2D98" w:rsidRPr="00114AD7">
        <w:rPr>
          <w:rFonts w:ascii="Times" w:hAnsi="Times"/>
        </w:rPr>
        <w:t xml:space="preserve">Pacific oyster, </w:t>
      </w:r>
      <w:r w:rsidR="00FD2D98" w:rsidRPr="00114AD7">
        <w:rPr>
          <w:rFonts w:ascii="Times" w:hAnsi="Times"/>
          <w:i/>
        </w:rPr>
        <w:t>Crassostrea gigas</w:t>
      </w:r>
      <w:r w:rsidR="00FD2D98" w:rsidRPr="00114AD7">
        <w:rPr>
          <w:rFonts w:ascii="Times" w:hAnsi="Times"/>
        </w:rPr>
        <w:t xml:space="preserve">.  Our hypothesis is that elevated </w:t>
      </w:r>
      <w:r w:rsidR="00FD2D98" w:rsidRPr="00114AD7">
        <w:rPr>
          <w:rFonts w:ascii="Times" w:hAnsi="Times"/>
          <w:i/>
        </w:rPr>
        <w:t>p</w:t>
      </w:r>
      <w:r w:rsidR="00FD2D98" w:rsidRPr="00114AD7">
        <w:rPr>
          <w:rFonts w:ascii="Times" w:hAnsi="Times"/>
        </w:rPr>
        <w:t>CO</w:t>
      </w:r>
      <w:r w:rsidR="00FD2D98" w:rsidRPr="00114AD7">
        <w:rPr>
          <w:rFonts w:ascii="Times" w:hAnsi="Times"/>
          <w:vertAlign w:val="subscript"/>
        </w:rPr>
        <w:t>2</w:t>
      </w:r>
      <w:r w:rsidR="00FD2D98" w:rsidRPr="00114AD7">
        <w:rPr>
          <w:rFonts w:ascii="Times" w:hAnsi="Times"/>
        </w:rPr>
        <w:t xml:space="preserve">/decreased pH will increase the physiological stress experienced by the oysters and thus increase metaplasia.  </w:t>
      </w:r>
    </w:p>
    <w:p w14:paraId="5EBBE787" w14:textId="4A931EC3" w:rsidR="00FD2D98" w:rsidRPr="00114AD7" w:rsidRDefault="00FD2D98" w:rsidP="00534DA8">
      <w:pPr>
        <w:spacing w:line="360" w:lineRule="auto"/>
        <w:ind w:firstLine="720"/>
        <w:rPr>
          <w:rFonts w:ascii="Times" w:hAnsi="Times"/>
        </w:rPr>
      </w:pPr>
      <w:r w:rsidRPr="00114AD7">
        <w:rPr>
          <w:rFonts w:ascii="Times" w:hAnsi="Times"/>
        </w:rPr>
        <w:t xml:space="preserve">Oysters were exposed to one of three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levels - 400 </w:t>
      </w:r>
      <w:r w:rsidR="000D35D8" w:rsidRPr="00114AD7">
        <w:rPr>
          <w:rFonts w:ascii="Times" w:hAnsi="Times"/>
        </w:rPr>
        <w:t xml:space="preserve">μatm </w:t>
      </w:r>
      <w:r w:rsidRPr="00114AD7">
        <w:rPr>
          <w:rFonts w:ascii="Times" w:hAnsi="Times"/>
        </w:rPr>
        <w:t xml:space="preserve">(control), 1000 </w:t>
      </w:r>
      <w:r w:rsidR="000D35D8" w:rsidRPr="00114AD7">
        <w:rPr>
          <w:rFonts w:ascii="Times" w:hAnsi="Times"/>
        </w:rPr>
        <w:t>μatm</w:t>
      </w:r>
      <w:r w:rsidRPr="00114AD7">
        <w:rPr>
          <w:rFonts w:ascii="Times" w:hAnsi="Times"/>
        </w:rPr>
        <w:t xml:space="preserve">, or 2800 </w:t>
      </w:r>
      <w:r w:rsidR="000D35D8" w:rsidRPr="00114AD7">
        <w:rPr>
          <w:rFonts w:ascii="Times" w:hAnsi="Times"/>
        </w:rPr>
        <w:t xml:space="preserve">μatm </w:t>
      </w:r>
      <w:r w:rsidRPr="00114AD7">
        <w:rPr>
          <w:rFonts w:ascii="Times" w:hAnsi="Times"/>
        </w:rPr>
        <w:t xml:space="preserve">- for one month.  Subsequently, a subset of oysters from each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treatment was subjected to mechanical stress to investigate the effects of ocean acidification on the oyster's stress response at the histological level.</w:t>
      </w:r>
    </w:p>
    <w:p w14:paraId="46490EA4" w14:textId="1827DF71" w:rsidR="00590C70" w:rsidRDefault="00590C70" w:rsidP="00B25B7F">
      <w:pPr>
        <w:pStyle w:val="Heading2"/>
        <w:spacing w:line="360" w:lineRule="auto"/>
      </w:pPr>
      <w:bookmarkStart w:id="107" w:name="_Toc257278849"/>
      <w:r>
        <w:t>Materials and Methods</w:t>
      </w:r>
      <w:bookmarkEnd w:id="107"/>
    </w:p>
    <w:p w14:paraId="64FED9F2" w14:textId="5B8E24AB" w:rsidR="009D7556" w:rsidRPr="00114AD7" w:rsidRDefault="009D7556" w:rsidP="00B25B7F">
      <w:pPr>
        <w:spacing w:line="360" w:lineRule="auto"/>
        <w:rPr>
          <w:rFonts w:ascii="Times" w:hAnsi="Times"/>
        </w:rPr>
      </w:pPr>
      <w:r>
        <w:tab/>
      </w:r>
      <w:r w:rsidRPr="00114AD7">
        <w:rPr>
          <w:rFonts w:ascii="Times" w:hAnsi="Times"/>
        </w:rPr>
        <w:t>Experimental set-up and oyster sampling were accomp</w:t>
      </w:r>
      <w:r w:rsidR="00E16191" w:rsidRPr="00114AD7">
        <w:rPr>
          <w:rFonts w:ascii="Times" w:hAnsi="Times"/>
        </w:rPr>
        <w:t>lished as described in Chapter III</w:t>
      </w:r>
      <w:r w:rsidRPr="00114AD7">
        <w:rPr>
          <w:rFonts w:ascii="Times" w:hAnsi="Times"/>
        </w:rPr>
        <w:t xml:space="preserve"> (see page</w:t>
      </w:r>
      <w:r w:rsidR="00EC50CE">
        <w:rPr>
          <w:rFonts w:ascii="Times" w:hAnsi="Times"/>
        </w:rPr>
        <w:t>s 69-71</w:t>
      </w:r>
      <w:r w:rsidRPr="00114AD7">
        <w:rPr>
          <w:rFonts w:ascii="Times" w:hAnsi="Times"/>
        </w:rPr>
        <w:t>).</w:t>
      </w:r>
      <w:r w:rsidR="0008341D" w:rsidRPr="00114AD7">
        <w:rPr>
          <w:rFonts w:ascii="Times" w:hAnsi="Times"/>
        </w:rPr>
        <w:t xml:space="preserve">  Oysters from three of the </w:t>
      </w:r>
      <w:r w:rsidR="0008341D" w:rsidRPr="00114AD7">
        <w:rPr>
          <w:rFonts w:ascii="Times" w:hAnsi="Times"/>
          <w:i/>
        </w:rPr>
        <w:t>p</w:t>
      </w:r>
      <w:r w:rsidR="0008341D" w:rsidRPr="00114AD7">
        <w:rPr>
          <w:rFonts w:ascii="Times" w:hAnsi="Times"/>
        </w:rPr>
        <w:t>CO</w:t>
      </w:r>
      <w:r w:rsidR="0008341D" w:rsidRPr="00114AD7">
        <w:rPr>
          <w:rFonts w:ascii="Times" w:hAnsi="Times"/>
          <w:vertAlign w:val="subscript"/>
        </w:rPr>
        <w:t>2</w:t>
      </w:r>
      <w:r w:rsidR="0008341D" w:rsidRPr="00114AD7">
        <w:rPr>
          <w:rFonts w:ascii="Times" w:hAnsi="Times"/>
        </w:rPr>
        <w:t xml:space="preserve"> treatments (400, 1000, and 2800 μatm) were analyzed for histological differences due to </w:t>
      </w:r>
      <w:r w:rsidR="0008341D" w:rsidRPr="00114AD7">
        <w:rPr>
          <w:rFonts w:ascii="Times" w:hAnsi="Times"/>
          <w:i/>
        </w:rPr>
        <w:t>p</w:t>
      </w:r>
      <w:r w:rsidR="0008341D" w:rsidRPr="00114AD7">
        <w:rPr>
          <w:rFonts w:ascii="Times" w:hAnsi="Times"/>
        </w:rPr>
        <w:t>CO</w:t>
      </w:r>
      <w:r w:rsidR="0008341D" w:rsidRPr="00114AD7">
        <w:rPr>
          <w:rFonts w:ascii="Times" w:hAnsi="Times"/>
          <w:vertAlign w:val="subscript"/>
        </w:rPr>
        <w:t>2</w:t>
      </w:r>
      <w:r w:rsidR="0008341D" w:rsidRPr="00114AD7">
        <w:rPr>
          <w:rFonts w:ascii="Times" w:hAnsi="Times"/>
        </w:rPr>
        <w:t xml:space="preserve"> and mechanical stress.</w:t>
      </w:r>
      <w:r w:rsidR="00B25B7F" w:rsidRPr="00114AD7">
        <w:rPr>
          <w:rFonts w:ascii="Times" w:hAnsi="Times"/>
        </w:rPr>
        <w:t xml:space="preserve">  </w:t>
      </w:r>
      <w:r w:rsidR="0008341D" w:rsidRPr="00114AD7">
        <w:rPr>
          <w:rFonts w:ascii="Times" w:hAnsi="Times"/>
        </w:rPr>
        <w:t>A transverse section was taken from</w:t>
      </w:r>
      <w:r w:rsidR="00216B3B" w:rsidRPr="00114AD7">
        <w:rPr>
          <w:rFonts w:ascii="Times" w:hAnsi="Times"/>
        </w:rPr>
        <w:t xml:space="preserve"> each oyster to include tissues from digestive gland, gill, and mantle.</w:t>
      </w:r>
      <w:r w:rsidRPr="00114AD7">
        <w:rPr>
          <w:rFonts w:ascii="Times" w:hAnsi="Times"/>
        </w:rPr>
        <w:t xml:space="preserve"> </w:t>
      </w:r>
      <w:r w:rsidR="00216B3B" w:rsidRPr="00114AD7">
        <w:rPr>
          <w:rFonts w:ascii="Times" w:hAnsi="Times"/>
        </w:rPr>
        <w:t xml:space="preserve">Sample sizes were as follows:  9 oysters for 400 </w:t>
      </w:r>
      <w:r w:rsidR="000F46A0" w:rsidRPr="00114AD7">
        <w:rPr>
          <w:rFonts w:ascii="Times" w:hAnsi="Times"/>
        </w:rPr>
        <w:t>μatm</w:t>
      </w:r>
      <w:r w:rsidR="00216B3B" w:rsidRPr="00114AD7">
        <w:rPr>
          <w:rFonts w:ascii="Times" w:hAnsi="Times"/>
        </w:rPr>
        <w:t xml:space="preserve">, 8 for 400 </w:t>
      </w:r>
      <w:r w:rsidR="000F46A0" w:rsidRPr="00114AD7">
        <w:rPr>
          <w:rFonts w:ascii="Times" w:hAnsi="Times"/>
        </w:rPr>
        <w:t xml:space="preserve">μatm </w:t>
      </w:r>
      <w:r w:rsidR="00216B3B" w:rsidRPr="00114AD7">
        <w:rPr>
          <w:rFonts w:ascii="Times" w:hAnsi="Times"/>
        </w:rPr>
        <w:t xml:space="preserve">+ mechanical stress, 8 for 1000 </w:t>
      </w:r>
      <w:r w:rsidR="000F46A0" w:rsidRPr="00114AD7">
        <w:rPr>
          <w:rFonts w:ascii="Times" w:hAnsi="Times"/>
        </w:rPr>
        <w:t>μatm</w:t>
      </w:r>
      <w:r w:rsidR="00216B3B" w:rsidRPr="00114AD7">
        <w:rPr>
          <w:rFonts w:ascii="Times" w:hAnsi="Times"/>
        </w:rPr>
        <w:t xml:space="preserve">, 8 for 1000 </w:t>
      </w:r>
      <w:r w:rsidR="000F46A0" w:rsidRPr="00114AD7">
        <w:rPr>
          <w:rFonts w:ascii="Times" w:hAnsi="Times"/>
        </w:rPr>
        <w:t xml:space="preserve">μatm </w:t>
      </w:r>
      <w:r w:rsidR="00216B3B" w:rsidRPr="00114AD7">
        <w:rPr>
          <w:rFonts w:ascii="Times" w:hAnsi="Times"/>
        </w:rPr>
        <w:t xml:space="preserve">+ mechanical stress, 8 for 2800 </w:t>
      </w:r>
      <w:r w:rsidR="000F46A0" w:rsidRPr="00114AD7">
        <w:rPr>
          <w:rFonts w:ascii="Times" w:hAnsi="Times"/>
        </w:rPr>
        <w:t>μatm</w:t>
      </w:r>
      <w:r w:rsidR="00216B3B" w:rsidRPr="00114AD7">
        <w:rPr>
          <w:rFonts w:ascii="Times" w:hAnsi="Times"/>
        </w:rPr>
        <w:t>,</w:t>
      </w:r>
      <w:r w:rsidR="00B25B7F" w:rsidRPr="00114AD7">
        <w:rPr>
          <w:rFonts w:ascii="Times" w:hAnsi="Times"/>
        </w:rPr>
        <w:t xml:space="preserve"> and</w:t>
      </w:r>
      <w:r w:rsidR="00216B3B" w:rsidRPr="00114AD7">
        <w:rPr>
          <w:rFonts w:ascii="Times" w:hAnsi="Times"/>
        </w:rPr>
        <w:t xml:space="preserve"> 5 for 2800 </w:t>
      </w:r>
      <w:r w:rsidR="000F46A0" w:rsidRPr="00114AD7">
        <w:rPr>
          <w:rFonts w:ascii="Times" w:hAnsi="Times"/>
        </w:rPr>
        <w:t xml:space="preserve">μatm </w:t>
      </w:r>
      <w:r w:rsidR="00216B3B" w:rsidRPr="00114AD7">
        <w:rPr>
          <w:rFonts w:ascii="Times" w:hAnsi="Times"/>
        </w:rPr>
        <w:t>+ mechanical stress.</w:t>
      </w:r>
    </w:p>
    <w:p w14:paraId="7BC38DE7" w14:textId="5632A86F" w:rsidR="00590C70" w:rsidRPr="00114AD7" w:rsidRDefault="00216B3B" w:rsidP="00B25B7F">
      <w:pPr>
        <w:spacing w:line="360" w:lineRule="auto"/>
        <w:rPr>
          <w:rFonts w:ascii="Times" w:hAnsi="Times"/>
        </w:rPr>
      </w:pPr>
      <w:r w:rsidRPr="00114AD7">
        <w:rPr>
          <w:rFonts w:ascii="Times" w:hAnsi="Times"/>
        </w:rPr>
        <w:tab/>
        <w:t>Each tissue cross-section was placed in a histology cassette and immediately transferred to Invertebrate Davidson's fixative (</w:t>
      </w:r>
      <w:r w:rsidR="00877472" w:rsidRPr="00114AD7">
        <w:rPr>
          <w:rFonts w:ascii="Times" w:hAnsi="Times"/>
        </w:rPr>
        <w:t>Shaw &amp; Battle 1957</w:t>
      </w:r>
      <w:r w:rsidRPr="00114AD7">
        <w:rPr>
          <w:rFonts w:ascii="Times" w:hAnsi="Times"/>
        </w:rPr>
        <w:t>).  After 24 hours, cassettes were transferred to 70% ethanol for storage.  Slides were prepared</w:t>
      </w:r>
      <w:r w:rsidR="002C7B21" w:rsidRPr="00114AD7">
        <w:rPr>
          <w:rFonts w:ascii="Times" w:hAnsi="Times"/>
        </w:rPr>
        <w:t xml:space="preserve"> for routine paraffin histology</w:t>
      </w:r>
      <w:r w:rsidRPr="00114AD7">
        <w:rPr>
          <w:rFonts w:ascii="Times" w:hAnsi="Times"/>
        </w:rPr>
        <w:t xml:space="preserve"> by </w:t>
      </w:r>
      <w:r w:rsidR="00877472" w:rsidRPr="00114AD7">
        <w:rPr>
          <w:rFonts w:ascii="Times" w:hAnsi="Times"/>
        </w:rPr>
        <w:t>the Diagnostic Pathology Medicinal Group (Sacramento, CA) and were stained with haematoxylin and eosin.   Digestive tubules were examined for signs of metaplasia.  Tubules with open and round lumen (contrasted with a</w:t>
      </w:r>
      <w:r w:rsidR="0008341D" w:rsidRPr="00114AD7">
        <w:rPr>
          <w:rFonts w:ascii="Times" w:hAnsi="Times"/>
        </w:rPr>
        <w:t xml:space="preserve"> 3- or</w:t>
      </w:r>
      <w:r w:rsidR="00877472" w:rsidRPr="00114AD7">
        <w:rPr>
          <w:rFonts w:ascii="Times" w:hAnsi="Times"/>
        </w:rPr>
        <w:t xml:space="preserve"> 4-point star-like shape) were considered to have</w:t>
      </w:r>
      <w:r w:rsidR="007903B1" w:rsidRPr="00114AD7">
        <w:rPr>
          <w:rFonts w:ascii="Times" w:hAnsi="Times"/>
        </w:rPr>
        <w:t xml:space="preserve"> undergone cuboidal metaplasia</w:t>
      </w:r>
      <w:r w:rsidR="00624850" w:rsidRPr="00114AD7">
        <w:rPr>
          <w:rFonts w:ascii="Times" w:hAnsi="Times"/>
        </w:rPr>
        <w:t xml:space="preserve"> (Fig. AppB.1)</w:t>
      </w:r>
      <w:r w:rsidR="007903B1" w:rsidRPr="00114AD7">
        <w:rPr>
          <w:rFonts w:ascii="Times" w:hAnsi="Times"/>
        </w:rPr>
        <w:t>.</w:t>
      </w:r>
    </w:p>
    <w:p w14:paraId="25AF8B88" w14:textId="272B714C" w:rsidR="00624850" w:rsidRDefault="00624850" w:rsidP="00B25B7F">
      <w:pPr>
        <w:spacing w:line="360" w:lineRule="auto"/>
      </w:pPr>
      <w:r w:rsidRPr="00114AD7">
        <w:rPr>
          <w:rFonts w:ascii="Times" w:hAnsi="Times"/>
        </w:rPr>
        <w:tab/>
        <w:t xml:space="preserve">All analyses were performed in R (R </w:t>
      </w:r>
      <w:r w:rsidR="00821EF3" w:rsidRPr="00114AD7">
        <w:rPr>
          <w:rFonts w:ascii="Times" w:hAnsi="Times"/>
        </w:rPr>
        <w:t>Development</w:t>
      </w:r>
      <w:r w:rsidRPr="00114AD7">
        <w:rPr>
          <w:rFonts w:ascii="Times" w:hAnsi="Times"/>
        </w:rPr>
        <w:t xml:space="preserve"> Team 2013).  ANOVA was performed with </w:t>
      </w:r>
      <w:r w:rsidR="00B25B7F" w:rsidRPr="00114AD7">
        <w:rPr>
          <w:rFonts w:ascii="Times" w:hAnsi="Times"/>
          <w:i/>
        </w:rPr>
        <w:t>p</w:t>
      </w:r>
      <w:r w:rsidR="00B25B7F" w:rsidRPr="00114AD7">
        <w:rPr>
          <w:rFonts w:ascii="Times" w:hAnsi="Times"/>
        </w:rPr>
        <w:t>CO</w:t>
      </w:r>
      <w:r w:rsidR="00B25B7F" w:rsidRPr="00114AD7">
        <w:rPr>
          <w:rFonts w:ascii="Times" w:hAnsi="Times"/>
          <w:vertAlign w:val="subscript"/>
        </w:rPr>
        <w:t>2</w:t>
      </w:r>
      <w:r w:rsidR="000F46A0" w:rsidRPr="00114AD7">
        <w:rPr>
          <w:rFonts w:ascii="Times" w:hAnsi="Times"/>
        </w:rPr>
        <w:t xml:space="preserve"> </w:t>
      </w:r>
      <w:r w:rsidRPr="00114AD7">
        <w:rPr>
          <w:rFonts w:ascii="Times" w:hAnsi="Times"/>
        </w:rPr>
        <w:t>and mechanical stress as fixed factors.</w:t>
      </w:r>
    </w:p>
    <w:p w14:paraId="54C6EDC5" w14:textId="3FF2C903" w:rsidR="007903B1" w:rsidRDefault="007903B1" w:rsidP="00590C70"/>
    <w:p w14:paraId="4CB3A3BA" w14:textId="7C35417E" w:rsidR="00590C70" w:rsidRDefault="00590C70" w:rsidP="00B25B7F">
      <w:pPr>
        <w:pStyle w:val="Heading2"/>
        <w:spacing w:line="360" w:lineRule="auto"/>
      </w:pPr>
      <w:bookmarkStart w:id="108" w:name="_Toc257278850"/>
      <w:r>
        <w:t>Results</w:t>
      </w:r>
      <w:bookmarkEnd w:id="108"/>
    </w:p>
    <w:p w14:paraId="050452AB" w14:textId="45697624" w:rsidR="00624850" w:rsidRPr="00114AD7" w:rsidRDefault="00624850" w:rsidP="00B25B7F">
      <w:pPr>
        <w:spacing w:line="360" w:lineRule="auto"/>
        <w:rPr>
          <w:rFonts w:ascii="Times" w:hAnsi="Times"/>
        </w:rPr>
      </w:pPr>
      <w:r>
        <w:tab/>
      </w:r>
      <w:r w:rsidR="00B25B7F" w:rsidRPr="00114AD7">
        <w:rPr>
          <w:rFonts w:ascii="Times" w:hAnsi="Times"/>
        </w:rPr>
        <w:t xml:space="preserve">Elevated </w:t>
      </w:r>
      <w:r w:rsidR="00B25B7F" w:rsidRPr="00114AD7">
        <w:rPr>
          <w:rFonts w:ascii="Times" w:hAnsi="Times"/>
          <w:i/>
        </w:rPr>
        <w:t>p</w:t>
      </w:r>
      <w:r w:rsidR="00B25B7F" w:rsidRPr="00114AD7">
        <w:rPr>
          <w:rFonts w:ascii="Times" w:hAnsi="Times"/>
        </w:rPr>
        <w:t>CO</w:t>
      </w:r>
      <w:r w:rsidR="00B25B7F" w:rsidRPr="00114AD7">
        <w:rPr>
          <w:rFonts w:ascii="Times" w:hAnsi="Times"/>
          <w:vertAlign w:val="subscript"/>
        </w:rPr>
        <w:t>2</w:t>
      </w:r>
      <w:r w:rsidR="00B25B7F" w:rsidRPr="00114AD7">
        <w:rPr>
          <w:rFonts w:ascii="Times" w:hAnsi="Times"/>
        </w:rPr>
        <w:t xml:space="preserve"> had no effect on</w:t>
      </w:r>
      <w:r w:rsidRPr="00114AD7">
        <w:rPr>
          <w:rFonts w:ascii="Times" w:hAnsi="Times"/>
        </w:rPr>
        <w:t xml:space="preserve"> proportion of digestive tubules undergoing metaplasia (Fig. AppB.2, F = 0.0562, p = 0.9455).  Across </w:t>
      </w:r>
      <w:r w:rsidR="00B25B7F" w:rsidRPr="00114AD7">
        <w:rPr>
          <w:rFonts w:ascii="Times" w:hAnsi="Times"/>
          <w:i/>
        </w:rPr>
        <w:t>p</w:t>
      </w:r>
      <w:r w:rsidR="00B25B7F" w:rsidRPr="00114AD7">
        <w:rPr>
          <w:rFonts w:ascii="Times" w:hAnsi="Times"/>
        </w:rPr>
        <w:t>CO</w:t>
      </w:r>
      <w:r w:rsidR="00B25B7F" w:rsidRPr="00114AD7">
        <w:rPr>
          <w:rFonts w:ascii="Times" w:hAnsi="Times"/>
          <w:vertAlign w:val="subscript"/>
        </w:rPr>
        <w:t>2</w:t>
      </w:r>
      <w:r w:rsidR="000F46A0" w:rsidRPr="00114AD7">
        <w:rPr>
          <w:rFonts w:ascii="Times" w:hAnsi="Times"/>
        </w:rPr>
        <w:t xml:space="preserve"> </w:t>
      </w:r>
      <w:r w:rsidRPr="00114AD7">
        <w:rPr>
          <w:rFonts w:ascii="Times" w:hAnsi="Times"/>
        </w:rPr>
        <w:t>treatments, mechanical stress resulted in fewer tubules with cuboidal metaplasia (Fig. AppB.2, F = 4.7870, p = 0.0323).</w:t>
      </w:r>
    </w:p>
    <w:p w14:paraId="229D00D2" w14:textId="77777777" w:rsidR="00590C70" w:rsidRDefault="00590C70" w:rsidP="00590C70"/>
    <w:p w14:paraId="221E6A5F" w14:textId="03E39210" w:rsidR="00590C70" w:rsidRDefault="00590C70" w:rsidP="00590C70">
      <w:pPr>
        <w:pStyle w:val="Heading2"/>
      </w:pPr>
      <w:bookmarkStart w:id="109" w:name="_Toc257278851"/>
      <w:r>
        <w:t>Discussion</w:t>
      </w:r>
      <w:bookmarkEnd w:id="109"/>
    </w:p>
    <w:p w14:paraId="69FF5F6B" w14:textId="77777777" w:rsidR="00050D4D" w:rsidRPr="00050D4D" w:rsidRDefault="00050D4D" w:rsidP="00050D4D"/>
    <w:p w14:paraId="4DA87A19" w14:textId="1CFA1A60" w:rsidR="00A076C9" w:rsidRPr="00114AD7" w:rsidRDefault="003E5089" w:rsidP="00050D4D">
      <w:pPr>
        <w:spacing w:line="360" w:lineRule="auto"/>
        <w:rPr>
          <w:rFonts w:ascii="Times" w:hAnsi="Times"/>
        </w:rPr>
      </w:pPr>
      <w:r>
        <w:tab/>
      </w:r>
      <w:r w:rsidRPr="00114AD7">
        <w:rPr>
          <w:rFonts w:ascii="Times" w:hAnsi="Times"/>
        </w:rPr>
        <w:t xml:space="preserve">One month exposure to elevated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did not affect digestive tubule </w:t>
      </w:r>
      <w:r w:rsidR="006F283A" w:rsidRPr="00114AD7">
        <w:rPr>
          <w:rFonts w:ascii="Times" w:hAnsi="Times"/>
        </w:rPr>
        <w:t xml:space="preserve">cuboidal </w:t>
      </w:r>
      <w:r w:rsidRPr="00114AD7">
        <w:rPr>
          <w:rFonts w:ascii="Times" w:hAnsi="Times"/>
        </w:rPr>
        <w:t xml:space="preserve">metaplasia in </w:t>
      </w:r>
      <w:r w:rsidRPr="00114AD7">
        <w:rPr>
          <w:rFonts w:ascii="Times" w:hAnsi="Times"/>
          <w:i/>
        </w:rPr>
        <w:t>Crassostrea gigas</w:t>
      </w:r>
      <w:r w:rsidRPr="00114AD7">
        <w:rPr>
          <w:rFonts w:ascii="Times" w:hAnsi="Times"/>
        </w:rPr>
        <w:t xml:space="preserve">, however mechanical stimulation caused a decrease in the proportion of tubules undergoing metaplasia across all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levels.  Metaplasia is when digestive tubule cell type changes from columnar to cuboidal and </w:t>
      </w:r>
      <w:r w:rsidR="006F283A" w:rsidRPr="00114AD7">
        <w:rPr>
          <w:rFonts w:ascii="Times" w:hAnsi="Times"/>
        </w:rPr>
        <w:t>is a natural occurrence in the daily feeding cycle of bivalves (Owen 1966), but can increase</w:t>
      </w:r>
      <w:r w:rsidRPr="00114AD7">
        <w:rPr>
          <w:rFonts w:ascii="Times" w:hAnsi="Times"/>
        </w:rPr>
        <w:t xml:space="preserve"> during starvation (Winstead 1995).  Some environmental stressors also instigate digestive tubule metaplasia</w:t>
      </w:r>
      <w:r w:rsidR="00A076C9" w:rsidRPr="00114AD7">
        <w:rPr>
          <w:rFonts w:ascii="Times" w:hAnsi="Times"/>
        </w:rPr>
        <w:t xml:space="preserve">, but this </w:t>
      </w:r>
      <w:r w:rsidR="006F283A" w:rsidRPr="00114AD7">
        <w:rPr>
          <w:rFonts w:ascii="Times" w:hAnsi="Times"/>
        </w:rPr>
        <w:t>may</w:t>
      </w:r>
      <w:r w:rsidR="00A076C9" w:rsidRPr="00114AD7">
        <w:rPr>
          <w:rFonts w:ascii="Times" w:hAnsi="Times"/>
        </w:rPr>
        <w:t xml:space="preserve"> be an indirect effect of decreased access to food.  For example, lesions proximal to digestive tubules are associated with metaplasia (Lowe and Moore 1979), </w:t>
      </w:r>
      <w:r w:rsidR="006F283A" w:rsidRPr="00114AD7">
        <w:rPr>
          <w:rFonts w:ascii="Times" w:hAnsi="Times"/>
        </w:rPr>
        <w:t>but the</w:t>
      </w:r>
      <w:r w:rsidR="00A076C9" w:rsidRPr="00114AD7">
        <w:rPr>
          <w:rFonts w:ascii="Times" w:hAnsi="Times"/>
        </w:rPr>
        <w:t xml:space="preserve"> lesions </w:t>
      </w:r>
      <w:r w:rsidR="006F283A" w:rsidRPr="00114AD7">
        <w:rPr>
          <w:rFonts w:ascii="Times" w:hAnsi="Times"/>
        </w:rPr>
        <w:t xml:space="preserve">may be </w:t>
      </w:r>
      <w:r w:rsidR="00A076C9" w:rsidRPr="00114AD7">
        <w:rPr>
          <w:rFonts w:ascii="Times" w:hAnsi="Times"/>
        </w:rPr>
        <w:t>inhibit</w:t>
      </w:r>
      <w:r w:rsidR="006F283A" w:rsidRPr="00114AD7">
        <w:rPr>
          <w:rFonts w:ascii="Times" w:hAnsi="Times"/>
        </w:rPr>
        <w:t>ing</w:t>
      </w:r>
      <w:r w:rsidR="00A076C9" w:rsidRPr="00114AD7">
        <w:rPr>
          <w:rFonts w:ascii="Times" w:hAnsi="Times"/>
        </w:rPr>
        <w:t xml:space="preserve"> digestion.  Additionally, exposure to high levels of pollutants causes metaplasia (Weis et al. 1995), but this could be a by-product of oyster shell closure during exposure to contaminated water</w:t>
      </w:r>
      <w:r w:rsidR="006F283A" w:rsidRPr="00114AD7">
        <w:rPr>
          <w:rFonts w:ascii="Times" w:hAnsi="Times"/>
        </w:rPr>
        <w:t xml:space="preserve"> (i.e. Doherty et al. 1987)</w:t>
      </w:r>
      <w:r w:rsidR="00A076C9" w:rsidRPr="00114AD7">
        <w:rPr>
          <w:rFonts w:ascii="Times" w:hAnsi="Times"/>
        </w:rPr>
        <w:t xml:space="preserve">, which would </w:t>
      </w:r>
      <w:r w:rsidR="0008341D" w:rsidRPr="00114AD7">
        <w:rPr>
          <w:rFonts w:ascii="Times" w:hAnsi="Times"/>
        </w:rPr>
        <w:t>prevent</w:t>
      </w:r>
      <w:r w:rsidR="00A076C9" w:rsidRPr="00114AD7">
        <w:rPr>
          <w:rFonts w:ascii="Times" w:hAnsi="Times"/>
        </w:rPr>
        <w:t xml:space="preserve"> feeding. </w:t>
      </w:r>
      <w:r w:rsidR="006F283A" w:rsidRPr="00114AD7">
        <w:rPr>
          <w:rFonts w:ascii="Times" w:hAnsi="Times"/>
        </w:rPr>
        <w:t xml:space="preserve"> </w:t>
      </w:r>
      <w:r w:rsidR="00A076C9" w:rsidRPr="00114AD7">
        <w:rPr>
          <w:rFonts w:ascii="Times" w:hAnsi="Times"/>
        </w:rPr>
        <w:t xml:space="preserve">Elevated </w:t>
      </w:r>
      <w:r w:rsidR="00A076C9" w:rsidRPr="00114AD7">
        <w:rPr>
          <w:rFonts w:ascii="Times" w:hAnsi="Times"/>
          <w:i/>
        </w:rPr>
        <w:t>p</w:t>
      </w:r>
      <w:r w:rsidR="00A076C9" w:rsidRPr="00114AD7">
        <w:rPr>
          <w:rFonts w:ascii="Times" w:hAnsi="Times"/>
        </w:rPr>
        <w:t>CO</w:t>
      </w:r>
      <w:r w:rsidR="00A076C9" w:rsidRPr="00114AD7">
        <w:rPr>
          <w:rFonts w:ascii="Times" w:hAnsi="Times"/>
          <w:vertAlign w:val="subscript"/>
        </w:rPr>
        <w:t>2</w:t>
      </w:r>
      <w:r w:rsidR="00A076C9" w:rsidRPr="00114AD7">
        <w:rPr>
          <w:rFonts w:ascii="Times" w:hAnsi="Times"/>
        </w:rPr>
        <w:t xml:space="preserve"> does not seem to affect access to food in </w:t>
      </w:r>
      <w:r w:rsidR="00A076C9" w:rsidRPr="00114AD7">
        <w:rPr>
          <w:rFonts w:ascii="Times" w:hAnsi="Times"/>
          <w:i/>
        </w:rPr>
        <w:t>C. gigas</w:t>
      </w:r>
      <w:r w:rsidR="00A076C9" w:rsidRPr="00114AD7">
        <w:rPr>
          <w:rFonts w:ascii="Times" w:hAnsi="Times"/>
        </w:rPr>
        <w:t xml:space="preserve">, as evidenced by lack of digestive tubule </w:t>
      </w:r>
      <w:r w:rsidR="006F283A" w:rsidRPr="00114AD7">
        <w:rPr>
          <w:rFonts w:ascii="Times" w:hAnsi="Times"/>
        </w:rPr>
        <w:t xml:space="preserve">cuboidal </w:t>
      </w:r>
      <w:r w:rsidR="00A076C9" w:rsidRPr="00114AD7">
        <w:rPr>
          <w:rFonts w:ascii="Times" w:hAnsi="Times"/>
        </w:rPr>
        <w:t xml:space="preserve">metaplasia as well as by </w:t>
      </w:r>
      <w:r w:rsidR="0008341D" w:rsidRPr="00114AD7">
        <w:rPr>
          <w:rFonts w:ascii="Times" w:hAnsi="Times"/>
        </w:rPr>
        <w:t>its lack of effect on</w:t>
      </w:r>
      <w:r w:rsidR="00A076C9" w:rsidRPr="00114AD7">
        <w:rPr>
          <w:rFonts w:ascii="Times" w:hAnsi="Times"/>
        </w:rPr>
        <w:t xml:space="preserve"> fatty acid profiles (see Chapter 3).</w:t>
      </w:r>
    </w:p>
    <w:p w14:paraId="4FED564F" w14:textId="7CE9CDBC" w:rsidR="00A076C9" w:rsidRDefault="00A076C9" w:rsidP="00050D4D">
      <w:pPr>
        <w:spacing w:line="360" w:lineRule="auto"/>
      </w:pPr>
      <w:r w:rsidRPr="00114AD7">
        <w:rPr>
          <w:rFonts w:ascii="Times" w:hAnsi="Times"/>
        </w:rPr>
        <w:tab/>
        <w:t xml:space="preserve">Mechanical stress consistently caused a decrease in proportion of tubules undergoing metaplasia in all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treatments.  This finding is in contrast to previous hypotheses that metaplasia is a general stress response in bivalves</w:t>
      </w:r>
      <w:r w:rsidR="0008341D" w:rsidRPr="00114AD7">
        <w:rPr>
          <w:rFonts w:ascii="Times" w:hAnsi="Times"/>
        </w:rPr>
        <w:t xml:space="preserve"> (Couch 1985)</w:t>
      </w:r>
      <w:r w:rsidRPr="00114AD7">
        <w:rPr>
          <w:rFonts w:ascii="Times" w:hAnsi="Times"/>
        </w:rPr>
        <w:t xml:space="preserve">.  The oysters that underwent mechanical stimulation may require more resources to </w:t>
      </w:r>
      <w:r w:rsidR="006F283A" w:rsidRPr="00114AD7">
        <w:rPr>
          <w:rFonts w:ascii="Times" w:hAnsi="Times"/>
        </w:rPr>
        <w:t>counteract</w:t>
      </w:r>
      <w:r w:rsidRPr="00114AD7">
        <w:rPr>
          <w:rFonts w:ascii="Times" w:hAnsi="Times"/>
        </w:rPr>
        <w:t xml:space="preserve"> this exogenous stress and one response to this </w:t>
      </w:r>
      <w:r w:rsidR="0008341D" w:rsidRPr="00114AD7">
        <w:rPr>
          <w:rFonts w:ascii="Times" w:hAnsi="Times"/>
        </w:rPr>
        <w:t>requirement</w:t>
      </w:r>
      <w:r w:rsidRPr="00114AD7">
        <w:rPr>
          <w:rFonts w:ascii="Times" w:hAnsi="Times"/>
        </w:rPr>
        <w:t xml:space="preserve"> may be to increase the number of dige</w:t>
      </w:r>
      <w:r w:rsidR="0008341D" w:rsidRPr="00114AD7">
        <w:rPr>
          <w:rFonts w:ascii="Times" w:hAnsi="Times"/>
        </w:rPr>
        <w:t xml:space="preserve">stive tubules </w:t>
      </w:r>
      <w:r w:rsidR="006F283A" w:rsidRPr="00114AD7">
        <w:rPr>
          <w:rFonts w:ascii="Times" w:hAnsi="Times"/>
        </w:rPr>
        <w:t>in the digestion phase (Owen 1966)</w:t>
      </w:r>
      <w:r w:rsidRPr="00114AD7">
        <w:rPr>
          <w:rFonts w:ascii="Times" w:hAnsi="Times"/>
        </w:rPr>
        <w:t>.  A similar effort to mobilize resources after exposure to mechanical stress was also seen at th</w:t>
      </w:r>
      <w:r w:rsidR="00E16191" w:rsidRPr="00114AD7">
        <w:rPr>
          <w:rFonts w:ascii="Times" w:hAnsi="Times"/>
        </w:rPr>
        <w:t>e proteomic level (see Chapter III</w:t>
      </w:r>
      <w:r w:rsidRPr="00114AD7">
        <w:rPr>
          <w:rFonts w:ascii="Times" w:hAnsi="Times"/>
        </w:rPr>
        <w:t xml:space="preserve"> D</w:t>
      </w:r>
      <w:r w:rsidR="00B51F71" w:rsidRPr="00114AD7">
        <w:rPr>
          <w:rFonts w:ascii="Times" w:hAnsi="Times"/>
        </w:rPr>
        <w:t xml:space="preserve">iscussion). </w:t>
      </w:r>
      <w:r w:rsidRPr="00114AD7">
        <w:rPr>
          <w:rFonts w:ascii="Times" w:hAnsi="Times"/>
        </w:rPr>
        <w:t xml:space="preserve"> </w:t>
      </w:r>
      <w:r w:rsidR="006F283A" w:rsidRPr="00114AD7">
        <w:rPr>
          <w:rFonts w:ascii="Times" w:hAnsi="Times"/>
        </w:rPr>
        <w:t>These results suggest that digestive tubule cuboidal metaplasia may not be a general stress response, but may in fact be a physiological response to change in access to food resources as a result of an environmental stressor.  Further research into the signaling pathways and mechanisms that trigger cuboidal metaplasia would help to elucidate its causes.</w:t>
      </w:r>
    </w:p>
    <w:p w14:paraId="1A50398A" w14:textId="77777777" w:rsidR="00050D4D" w:rsidRDefault="00050D4D" w:rsidP="00050D4D">
      <w:pPr>
        <w:spacing w:line="360" w:lineRule="auto"/>
      </w:pPr>
    </w:p>
    <w:p w14:paraId="489F844F" w14:textId="65983506" w:rsidR="007245FE" w:rsidRDefault="007245FE" w:rsidP="007245FE">
      <w:pPr>
        <w:pStyle w:val="Heading2"/>
      </w:pPr>
      <w:bookmarkStart w:id="110" w:name="_Toc257278852"/>
      <w:r>
        <w:t>Figures</w:t>
      </w:r>
      <w:bookmarkEnd w:id="110"/>
    </w:p>
    <w:p w14:paraId="2AA3B65F" w14:textId="62215318" w:rsidR="007245FE" w:rsidRDefault="007245FE" w:rsidP="00050D4D">
      <w:pPr>
        <w:spacing w:line="360" w:lineRule="auto"/>
      </w:pPr>
      <w:r>
        <w:rPr>
          <w:noProof/>
          <w:lang w:eastAsia="en-US"/>
        </w:rPr>
        <w:drawing>
          <wp:inline distT="0" distB="0" distL="0" distR="0" wp14:anchorId="337DB535" wp14:editId="789D905C">
            <wp:extent cx="2337435" cy="317068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plasia figure.jpg"/>
                    <pic:cNvPicPr/>
                  </pic:nvPicPr>
                  <pic:blipFill rotWithShape="1">
                    <a:blip r:embed="rId40">
                      <a:extLst>
                        <a:ext uri="{28A0092B-C50C-407E-A947-70E740481C1C}">
                          <a14:useLocalDpi xmlns:a14="http://schemas.microsoft.com/office/drawing/2010/main" val="0"/>
                        </a:ext>
                      </a:extLst>
                    </a:blip>
                    <a:srcRect l="24769" t="6291" r="25231" b="5932"/>
                    <a:stretch/>
                  </pic:blipFill>
                  <pic:spPr bwMode="auto">
                    <a:xfrm>
                      <a:off x="0" y="0"/>
                      <a:ext cx="2337435" cy="3170687"/>
                    </a:xfrm>
                    <a:prstGeom prst="rect">
                      <a:avLst/>
                    </a:prstGeom>
                    <a:ln>
                      <a:noFill/>
                    </a:ln>
                    <a:extLst>
                      <a:ext uri="{53640926-AAD7-44d8-BBD7-CCE9431645EC}">
                        <a14:shadowObscured xmlns:a14="http://schemas.microsoft.com/office/drawing/2010/main"/>
                      </a:ext>
                    </a:extLst>
                  </pic:spPr>
                </pic:pic>
              </a:graphicData>
            </a:graphic>
          </wp:inline>
        </w:drawing>
      </w:r>
    </w:p>
    <w:p w14:paraId="2C797D18" w14:textId="77777777" w:rsidR="007245FE" w:rsidRPr="00114AD7" w:rsidRDefault="007245FE" w:rsidP="007245FE">
      <w:pPr>
        <w:spacing w:line="360" w:lineRule="auto"/>
        <w:rPr>
          <w:rFonts w:ascii="Times" w:hAnsi="Times"/>
        </w:rPr>
      </w:pPr>
      <w:r w:rsidRPr="00114AD7">
        <w:rPr>
          <w:rFonts w:ascii="Times" w:hAnsi="Times"/>
        </w:rPr>
        <w:t>Figure Appendix B.1. Normal digestive tubules (yellow arrows) and tubules undergoing metaplasia (black arrows).</w:t>
      </w:r>
    </w:p>
    <w:p w14:paraId="3367B437" w14:textId="77777777" w:rsidR="007245FE" w:rsidRDefault="007245FE" w:rsidP="00050D4D">
      <w:pPr>
        <w:spacing w:line="360" w:lineRule="auto"/>
      </w:pPr>
    </w:p>
    <w:p w14:paraId="04279F54" w14:textId="7F18160E" w:rsidR="007245FE" w:rsidRDefault="007245FE" w:rsidP="00050D4D">
      <w:pPr>
        <w:spacing w:line="360" w:lineRule="auto"/>
      </w:pPr>
      <w:r>
        <w:rPr>
          <w:noProof/>
          <w:lang w:eastAsia="en-US"/>
        </w:rPr>
        <w:drawing>
          <wp:inline distT="0" distB="0" distL="0" distR="0" wp14:anchorId="5A130E4C" wp14:editId="28185327">
            <wp:extent cx="4460240" cy="4460240"/>
            <wp:effectExtent l="0" t="0" r="1016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plasia.pdf"/>
                    <pic:cNvPicPr/>
                  </pic:nvPicPr>
                  <pic:blipFill>
                    <a:blip r:embed="rId41">
                      <a:extLst>
                        <a:ext uri="{28A0092B-C50C-407E-A947-70E740481C1C}">
                          <a14:useLocalDpi xmlns:a14="http://schemas.microsoft.com/office/drawing/2010/main" val="0"/>
                        </a:ext>
                      </a:extLst>
                    </a:blip>
                    <a:stretch>
                      <a:fillRect/>
                    </a:stretch>
                  </pic:blipFill>
                  <pic:spPr>
                    <a:xfrm>
                      <a:off x="0" y="0"/>
                      <a:ext cx="4460240" cy="4460240"/>
                    </a:xfrm>
                    <a:prstGeom prst="rect">
                      <a:avLst/>
                    </a:prstGeom>
                  </pic:spPr>
                </pic:pic>
              </a:graphicData>
            </a:graphic>
          </wp:inline>
        </w:drawing>
      </w:r>
    </w:p>
    <w:p w14:paraId="22BA9ED9" w14:textId="77777777" w:rsidR="007245FE" w:rsidRPr="00114AD7" w:rsidRDefault="007245FE" w:rsidP="007245FE">
      <w:pPr>
        <w:spacing w:line="360" w:lineRule="auto"/>
        <w:rPr>
          <w:rFonts w:ascii="Times" w:hAnsi="Times"/>
        </w:rPr>
      </w:pPr>
      <w:r w:rsidRPr="00114AD7">
        <w:rPr>
          <w:rFonts w:ascii="Times" w:hAnsi="Times"/>
        </w:rPr>
        <w:t xml:space="preserve">Figure Appendix B.2. Proportion of digestive tubules exhibiting cuboidal metaplasia.  Means are plotted with 95% confidence intervals for mechanically stressed (red) and non-mechanically stressed (blue) oysters across the three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treatments.  Mechanical stress caused a significant decrease in metaplasia in all </w:t>
      </w:r>
      <w:r w:rsidRPr="00114AD7">
        <w:rPr>
          <w:rFonts w:ascii="Times" w:hAnsi="Times"/>
          <w:i/>
        </w:rPr>
        <w:t>p</w:t>
      </w:r>
      <w:r w:rsidRPr="00114AD7">
        <w:rPr>
          <w:rFonts w:ascii="Times" w:hAnsi="Times"/>
        </w:rPr>
        <w:t>CO</w:t>
      </w:r>
      <w:r w:rsidRPr="00114AD7">
        <w:rPr>
          <w:rFonts w:ascii="Times" w:hAnsi="Times"/>
          <w:vertAlign w:val="subscript"/>
        </w:rPr>
        <w:t>2</w:t>
      </w:r>
      <w:r w:rsidRPr="00114AD7">
        <w:rPr>
          <w:rFonts w:ascii="Times" w:hAnsi="Times"/>
        </w:rPr>
        <w:t xml:space="preserve"> treatments.</w:t>
      </w:r>
    </w:p>
    <w:p w14:paraId="7B20571B" w14:textId="77777777" w:rsidR="007245FE" w:rsidRDefault="007245FE" w:rsidP="00050D4D">
      <w:pPr>
        <w:spacing w:line="360" w:lineRule="auto"/>
      </w:pPr>
    </w:p>
    <w:p w14:paraId="12BC157D" w14:textId="54911248" w:rsidR="00050D4D" w:rsidRDefault="00050D4D" w:rsidP="00050D4D">
      <w:pPr>
        <w:pStyle w:val="Heading2"/>
      </w:pPr>
      <w:bookmarkStart w:id="111" w:name="_Toc257278853"/>
      <w:r>
        <w:t>Works Cited</w:t>
      </w:r>
      <w:bookmarkEnd w:id="111"/>
    </w:p>
    <w:p w14:paraId="308698D6" w14:textId="77777777" w:rsidR="00E16191" w:rsidRPr="00E16191" w:rsidRDefault="00E16191" w:rsidP="00E16191"/>
    <w:p w14:paraId="0EE6E25F" w14:textId="7160E21C" w:rsidR="0081407C" w:rsidRPr="00114AD7" w:rsidRDefault="00CA19DA" w:rsidP="00821EF3">
      <w:pPr>
        <w:ind w:left="720" w:hanging="720"/>
        <w:rPr>
          <w:rFonts w:ascii="Times" w:hAnsi="Times"/>
          <w:i/>
        </w:rPr>
      </w:pPr>
      <w:r>
        <w:fldChar w:fldCharType="end"/>
      </w:r>
      <w:r w:rsidR="0081407C" w:rsidRPr="00114AD7">
        <w:rPr>
          <w:rFonts w:ascii="Times" w:hAnsi="Times"/>
        </w:rPr>
        <w:t xml:space="preserve">Couch, J.A. (1985) Prospective study of infectious and noninfectious diseases in oysters and fishes in three Gulf of Mexico estuaries. </w:t>
      </w:r>
      <w:r w:rsidR="0081407C" w:rsidRPr="00114AD7">
        <w:rPr>
          <w:rFonts w:ascii="Times" w:hAnsi="Times"/>
          <w:i/>
        </w:rPr>
        <w:t>Diseases of Aquatic Organisms</w:t>
      </w:r>
      <w:r w:rsidR="0081407C" w:rsidRPr="00114AD7">
        <w:rPr>
          <w:rFonts w:ascii="Times" w:hAnsi="Times"/>
        </w:rPr>
        <w:t xml:space="preserve">, </w:t>
      </w:r>
      <w:r w:rsidR="0081407C" w:rsidRPr="00114AD7">
        <w:rPr>
          <w:rFonts w:ascii="Times" w:hAnsi="Times"/>
          <w:i/>
        </w:rPr>
        <w:t>1, 59-82.</w:t>
      </w:r>
    </w:p>
    <w:p w14:paraId="2FD0E407" w14:textId="72624877" w:rsidR="0081407C" w:rsidRPr="00114AD7" w:rsidRDefault="0081407C" w:rsidP="00821EF3">
      <w:pPr>
        <w:ind w:left="720" w:hanging="720"/>
        <w:rPr>
          <w:rFonts w:ascii="Times" w:hAnsi="Times"/>
        </w:rPr>
      </w:pPr>
      <w:r w:rsidRPr="00114AD7">
        <w:rPr>
          <w:rFonts w:ascii="Times" w:hAnsi="Times"/>
        </w:rPr>
        <w:t xml:space="preserve">Doherty, F.G., Cherry, D.S., and Cairns, J. (1987) Valve closure responses of the Asiatic clam </w:t>
      </w:r>
      <w:r w:rsidRPr="00114AD7">
        <w:rPr>
          <w:rFonts w:ascii="Times" w:hAnsi="Times"/>
          <w:i/>
        </w:rPr>
        <w:t xml:space="preserve">Corbicula fluminea </w:t>
      </w:r>
      <w:r w:rsidRPr="00114AD7">
        <w:rPr>
          <w:rFonts w:ascii="Times" w:hAnsi="Times"/>
        </w:rPr>
        <w:t xml:space="preserve">exposed to cadmium and zinc. </w:t>
      </w:r>
      <w:r w:rsidRPr="00114AD7">
        <w:rPr>
          <w:rFonts w:ascii="Times" w:hAnsi="Times"/>
          <w:i/>
        </w:rPr>
        <w:t>Hydrobiologia</w:t>
      </w:r>
      <w:r w:rsidRPr="00114AD7">
        <w:rPr>
          <w:rFonts w:ascii="Times" w:hAnsi="Times"/>
        </w:rPr>
        <w:t xml:space="preserve">, </w:t>
      </w:r>
      <w:r w:rsidRPr="00114AD7">
        <w:rPr>
          <w:rFonts w:ascii="Times" w:hAnsi="Times"/>
          <w:i/>
        </w:rPr>
        <w:t>153</w:t>
      </w:r>
      <w:r w:rsidRPr="00114AD7">
        <w:rPr>
          <w:rFonts w:ascii="Times" w:hAnsi="Times"/>
        </w:rPr>
        <w:t>(2), 159-167.</w:t>
      </w:r>
    </w:p>
    <w:p w14:paraId="6A2AEB41" w14:textId="76192ABE" w:rsidR="0081407C" w:rsidRPr="00114AD7" w:rsidRDefault="0081407C" w:rsidP="00821EF3">
      <w:pPr>
        <w:ind w:left="720" w:hanging="720"/>
        <w:rPr>
          <w:rFonts w:ascii="Times" w:hAnsi="Times"/>
        </w:rPr>
      </w:pPr>
      <w:r w:rsidRPr="00114AD7">
        <w:rPr>
          <w:rFonts w:ascii="Times" w:hAnsi="Times"/>
        </w:rPr>
        <w:t xml:space="preserve">Lowe, D.M. and Moore, M.N. (1979) The cytology and occurrence of granulocytomas in mussels. </w:t>
      </w:r>
      <w:r w:rsidRPr="00114AD7">
        <w:rPr>
          <w:rFonts w:ascii="Times" w:hAnsi="Times"/>
          <w:i/>
        </w:rPr>
        <w:t>Marine Pollution Bulletin</w:t>
      </w:r>
      <w:r w:rsidRPr="00114AD7">
        <w:rPr>
          <w:rFonts w:ascii="Times" w:hAnsi="Times"/>
        </w:rPr>
        <w:t xml:space="preserve">, </w:t>
      </w:r>
      <w:r w:rsidRPr="00114AD7">
        <w:rPr>
          <w:rFonts w:ascii="Times" w:hAnsi="Times"/>
          <w:i/>
        </w:rPr>
        <w:t>10</w:t>
      </w:r>
      <w:r w:rsidRPr="00114AD7">
        <w:rPr>
          <w:rFonts w:ascii="Times" w:hAnsi="Times"/>
        </w:rPr>
        <w:t>(5), 137-141.</w:t>
      </w:r>
    </w:p>
    <w:p w14:paraId="0B9017F3" w14:textId="3660E645" w:rsidR="0081407C" w:rsidRPr="00114AD7" w:rsidRDefault="0081407C" w:rsidP="00821EF3">
      <w:pPr>
        <w:ind w:left="720" w:hanging="720"/>
        <w:rPr>
          <w:rFonts w:ascii="Times" w:hAnsi="Times"/>
        </w:rPr>
      </w:pPr>
      <w:r w:rsidRPr="00114AD7">
        <w:rPr>
          <w:rFonts w:ascii="Times" w:hAnsi="Times"/>
        </w:rPr>
        <w:t xml:space="preserve">Nascimento, I.A., Smith, D.H., Kern, F., and Pereira, S.A. (1986) Pathological findings in </w:t>
      </w:r>
      <w:r w:rsidRPr="00114AD7">
        <w:rPr>
          <w:rFonts w:ascii="Times" w:hAnsi="Times"/>
          <w:i/>
        </w:rPr>
        <w:t xml:space="preserve">Crassostrea rhizophorae </w:t>
      </w:r>
      <w:r w:rsidRPr="00114AD7">
        <w:rPr>
          <w:rFonts w:ascii="Times" w:hAnsi="Times"/>
        </w:rPr>
        <w:t xml:space="preserve">from Todos os Santos Bay, Bahia, Brazil. </w:t>
      </w:r>
      <w:r w:rsidRPr="00114AD7">
        <w:rPr>
          <w:rFonts w:ascii="Times" w:hAnsi="Times"/>
          <w:i/>
        </w:rPr>
        <w:t>Journal of Invertebrate Pathology</w:t>
      </w:r>
      <w:r w:rsidRPr="00114AD7">
        <w:rPr>
          <w:rFonts w:ascii="Times" w:hAnsi="Times"/>
        </w:rPr>
        <w:t xml:space="preserve">, </w:t>
      </w:r>
      <w:r w:rsidRPr="00114AD7">
        <w:rPr>
          <w:rFonts w:ascii="Times" w:hAnsi="Times"/>
          <w:i/>
        </w:rPr>
        <w:t>47</w:t>
      </w:r>
      <w:r w:rsidRPr="00114AD7">
        <w:rPr>
          <w:rFonts w:ascii="Times" w:hAnsi="Times"/>
        </w:rPr>
        <w:t>(3), 340-349.</w:t>
      </w:r>
    </w:p>
    <w:p w14:paraId="1731209A" w14:textId="026F8854" w:rsidR="006F283A" w:rsidRPr="00114AD7" w:rsidRDefault="006F283A" w:rsidP="00821EF3">
      <w:pPr>
        <w:ind w:left="720" w:hanging="720"/>
        <w:rPr>
          <w:rFonts w:ascii="Times" w:hAnsi="Times"/>
        </w:rPr>
      </w:pPr>
      <w:r w:rsidRPr="00114AD7">
        <w:rPr>
          <w:rFonts w:ascii="Times" w:hAnsi="Times"/>
        </w:rPr>
        <w:t xml:space="preserve">Owen, G. (1966) Digestion.  In </w:t>
      </w:r>
      <w:r w:rsidRPr="00114AD7">
        <w:rPr>
          <w:rFonts w:ascii="Times" w:hAnsi="Times"/>
          <w:i/>
        </w:rPr>
        <w:t>Physiology of Mollusca Volume II</w:t>
      </w:r>
      <w:r w:rsidRPr="00114AD7">
        <w:rPr>
          <w:rFonts w:ascii="Times" w:hAnsi="Times"/>
        </w:rPr>
        <w:t>. Wilbur, K.M. and Yonge, C.M. (eds).  Academic Press: New York.</w:t>
      </w:r>
    </w:p>
    <w:p w14:paraId="2C072193" w14:textId="336DDC7B" w:rsidR="0081407C" w:rsidRPr="00114AD7" w:rsidRDefault="0081407C" w:rsidP="00821EF3">
      <w:pPr>
        <w:ind w:left="720" w:hanging="720"/>
        <w:rPr>
          <w:rFonts w:ascii="Times" w:hAnsi="Times"/>
        </w:rPr>
      </w:pPr>
      <w:r w:rsidRPr="00114AD7">
        <w:rPr>
          <w:rFonts w:ascii="Times" w:hAnsi="Times"/>
        </w:rPr>
        <w:t>Shaw</w:t>
      </w:r>
      <w:r w:rsidR="00821EF3" w:rsidRPr="00114AD7">
        <w:rPr>
          <w:rFonts w:ascii="Times" w:hAnsi="Times"/>
        </w:rPr>
        <w:t>, B.L.</w:t>
      </w:r>
      <w:r w:rsidRPr="00114AD7">
        <w:rPr>
          <w:rFonts w:ascii="Times" w:hAnsi="Times"/>
        </w:rPr>
        <w:t xml:space="preserve"> and Battle</w:t>
      </w:r>
      <w:r w:rsidR="00821EF3" w:rsidRPr="00114AD7">
        <w:rPr>
          <w:rFonts w:ascii="Times" w:hAnsi="Times"/>
        </w:rPr>
        <w:t>, H.I.</w:t>
      </w:r>
      <w:r w:rsidRPr="00114AD7">
        <w:rPr>
          <w:rFonts w:ascii="Times" w:hAnsi="Times"/>
        </w:rPr>
        <w:t xml:space="preserve"> </w:t>
      </w:r>
      <w:r w:rsidR="00821EF3" w:rsidRPr="00114AD7">
        <w:rPr>
          <w:rFonts w:ascii="Times" w:hAnsi="Times"/>
        </w:rPr>
        <w:t>(</w:t>
      </w:r>
      <w:r w:rsidRPr="00114AD7">
        <w:rPr>
          <w:rFonts w:ascii="Times" w:hAnsi="Times"/>
        </w:rPr>
        <w:t>1957</w:t>
      </w:r>
      <w:r w:rsidR="00821EF3" w:rsidRPr="00114AD7">
        <w:rPr>
          <w:rFonts w:ascii="Times" w:hAnsi="Times"/>
        </w:rPr>
        <w:t xml:space="preserve">) The gross and microscopic anatomy of the digestive tract of the oyster </w:t>
      </w:r>
      <w:r w:rsidR="00821EF3" w:rsidRPr="00114AD7">
        <w:rPr>
          <w:rFonts w:ascii="Times" w:hAnsi="Times"/>
          <w:i/>
        </w:rPr>
        <w:t xml:space="preserve">Crassostrea virginica </w:t>
      </w:r>
      <w:r w:rsidR="00821EF3" w:rsidRPr="00114AD7">
        <w:rPr>
          <w:rFonts w:ascii="Times" w:hAnsi="Times"/>
        </w:rPr>
        <w:t xml:space="preserve">(Gmelin). </w:t>
      </w:r>
      <w:r w:rsidR="00821EF3" w:rsidRPr="00114AD7">
        <w:rPr>
          <w:rFonts w:ascii="Times" w:hAnsi="Times"/>
          <w:i/>
        </w:rPr>
        <w:t>Canadian Journal of Zoology</w:t>
      </w:r>
      <w:r w:rsidR="00821EF3" w:rsidRPr="00114AD7">
        <w:rPr>
          <w:rFonts w:ascii="Times" w:hAnsi="Times"/>
        </w:rPr>
        <w:t xml:space="preserve">, </w:t>
      </w:r>
      <w:r w:rsidR="00821EF3" w:rsidRPr="00114AD7">
        <w:rPr>
          <w:rFonts w:ascii="Times" w:hAnsi="Times"/>
          <w:i/>
        </w:rPr>
        <w:t>33</w:t>
      </w:r>
      <w:r w:rsidR="00821EF3" w:rsidRPr="00114AD7">
        <w:rPr>
          <w:rFonts w:ascii="Times" w:hAnsi="Times"/>
        </w:rPr>
        <w:t>(3), 325-347.</w:t>
      </w:r>
    </w:p>
    <w:p w14:paraId="04FC68A3" w14:textId="4745819C" w:rsidR="00050D4D" w:rsidRPr="00114AD7" w:rsidRDefault="0081407C" w:rsidP="00821EF3">
      <w:pPr>
        <w:ind w:left="720" w:hanging="720"/>
        <w:rPr>
          <w:rFonts w:ascii="Times" w:hAnsi="Times"/>
        </w:rPr>
      </w:pPr>
      <w:r w:rsidRPr="00114AD7">
        <w:rPr>
          <w:rFonts w:ascii="Times" w:hAnsi="Times"/>
        </w:rPr>
        <w:t>Somero</w:t>
      </w:r>
      <w:r w:rsidR="00821EF3" w:rsidRPr="00114AD7">
        <w:rPr>
          <w:rFonts w:ascii="Times" w:hAnsi="Times"/>
        </w:rPr>
        <w:t>, G.N.</w:t>
      </w:r>
      <w:r w:rsidRPr="00114AD7">
        <w:rPr>
          <w:rFonts w:ascii="Times" w:hAnsi="Times"/>
        </w:rPr>
        <w:t xml:space="preserve"> </w:t>
      </w:r>
      <w:r w:rsidR="00821EF3" w:rsidRPr="00114AD7">
        <w:rPr>
          <w:rFonts w:ascii="Times" w:hAnsi="Times"/>
        </w:rPr>
        <w:t>(</w:t>
      </w:r>
      <w:r w:rsidRPr="00114AD7">
        <w:rPr>
          <w:rFonts w:ascii="Times" w:hAnsi="Times"/>
        </w:rPr>
        <w:t>2002</w:t>
      </w:r>
      <w:r w:rsidR="00821EF3" w:rsidRPr="00114AD7">
        <w:rPr>
          <w:rFonts w:ascii="Times" w:hAnsi="Times"/>
        </w:rPr>
        <w:t xml:space="preserve">) Thermal physiology and vertical zonation of intertidal animals: Optima, limits, and costs of living. </w:t>
      </w:r>
      <w:r w:rsidR="00821EF3" w:rsidRPr="00114AD7">
        <w:rPr>
          <w:rFonts w:ascii="Times" w:hAnsi="Times"/>
          <w:i/>
        </w:rPr>
        <w:t>Integrative and Comparative Biology</w:t>
      </w:r>
      <w:r w:rsidR="00821EF3" w:rsidRPr="00114AD7">
        <w:rPr>
          <w:rFonts w:ascii="Times" w:hAnsi="Times"/>
        </w:rPr>
        <w:t xml:space="preserve">, </w:t>
      </w:r>
      <w:r w:rsidR="00821EF3" w:rsidRPr="00114AD7">
        <w:rPr>
          <w:rFonts w:ascii="Times" w:hAnsi="Times"/>
          <w:i/>
        </w:rPr>
        <w:t>42</w:t>
      </w:r>
      <w:r w:rsidR="00821EF3" w:rsidRPr="00114AD7">
        <w:rPr>
          <w:rFonts w:ascii="Times" w:hAnsi="Times"/>
        </w:rPr>
        <w:t>, 780-789.</w:t>
      </w:r>
    </w:p>
    <w:p w14:paraId="12C8AFE4" w14:textId="6964635F" w:rsidR="0081407C" w:rsidRPr="00114AD7" w:rsidRDefault="0081407C" w:rsidP="00821EF3">
      <w:pPr>
        <w:ind w:left="720" w:hanging="720"/>
        <w:rPr>
          <w:rFonts w:ascii="Times" w:hAnsi="Times"/>
        </w:rPr>
      </w:pPr>
      <w:r w:rsidRPr="00114AD7">
        <w:rPr>
          <w:rFonts w:ascii="Times" w:hAnsi="Times"/>
        </w:rPr>
        <w:t>Weis, P., Weis, J.S., Couch, J., Daniels, C., and Chen, T. (1995) Pathological and genotoxicological observations in oysters (</w:t>
      </w:r>
      <w:r w:rsidRPr="00114AD7">
        <w:rPr>
          <w:rFonts w:ascii="Times" w:hAnsi="Times"/>
          <w:i/>
        </w:rPr>
        <w:t>Crassostrea virginica</w:t>
      </w:r>
      <w:r w:rsidRPr="00114AD7">
        <w:rPr>
          <w:rFonts w:ascii="Times" w:hAnsi="Times"/>
        </w:rPr>
        <w:t xml:space="preserve">) living on chromated copper arsenate (CCA)-treated wood. </w:t>
      </w:r>
      <w:r w:rsidRPr="00114AD7">
        <w:rPr>
          <w:rFonts w:ascii="Times" w:hAnsi="Times"/>
          <w:i/>
        </w:rPr>
        <w:t>Marine Environmental Research</w:t>
      </w:r>
      <w:r w:rsidRPr="00114AD7">
        <w:rPr>
          <w:rFonts w:ascii="Times" w:hAnsi="Times"/>
        </w:rPr>
        <w:t xml:space="preserve">, </w:t>
      </w:r>
      <w:r w:rsidRPr="00114AD7">
        <w:rPr>
          <w:rFonts w:ascii="Times" w:hAnsi="Times"/>
          <w:i/>
        </w:rPr>
        <w:t>39</w:t>
      </w:r>
      <w:r w:rsidRPr="00114AD7">
        <w:rPr>
          <w:rFonts w:ascii="Times" w:hAnsi="Times"/>
        </w:rPr>
        <w:t xml:space="preserve"> (1-4), 275-278.</w:t>
      </w:r>
    </w:p>
    <w:p w14:paraId="5C63B680" w14:textId="6712036B" w:rsidR="0081407C" w:rsidRPr="00821EF3" w:rsidRDefault="0081407C" w:rsidP="00821EF3">
      <w:pPr>
        <w:ind w:left="720" w:hanging="720"/>
      </w:pPr>
      <w:r w:rsidRPr="00114AD7">
        <w:rPr>
          <w:rFonts w:ascii="Times" w:hAnsi="Times"/>
        </w:rPr>
        <w:t>Winstead</w:t>
      </w:r>
      <w:r w:rsidR="00821EF3" w:rsidRPr="00114AD7">
        <w:rPr>
          <w:rFonts w:ascii="Times" w:hAnsi="Times"/>
        </w:rPr>
        <w:t>, J.T.</w:t>
      </w:r>
      <w:r w:rsidRPr="00114AD7">
        <w:rPr>
          <w:rFonts w:ascii="Times" w:hAnsi="Times"/>
        </w:rPr>
        <w:t xml:space="preserve"> </w:t>
      </w:r>
      <w:r w:rsidR="00821EF3" w:rsidRPr="00114AD7">
        <w:rPr>
          <w:rFonts w:ascii="Times" w:hAnsi="Times"/>
        </w:rPr>
        <w:t>(</w:t>
      </w:r>
      <w:r w:rsidRPr="00114AD7">
        <w:rPr>
          <w:rFonts w:ascii="Times" w:hAnsi="Times"/>
        </w:rPr>
        <w:t>1995</w:t>
      </w:r>
      <w:r w:rsidR="00821EF3" w:rsidRPr="00114AD7">
        <w:rPr>
          <w:rFonts w:ascii="Times" w:hAnsi="Times"/>
        </w:rPr>
        <w:t xml:space="preserve">) Digestive tubule atrophy in eastern oysters, </w:t>
      </w:r>
      <w:r w:rsidR="00821EF3" w:rsidRPr="00114AD7">
        <w:rPr>
          <w:rFonts w:ascii="Times" w:hAnsi="Times"/>
          <w:i/>
        </w:rPr>
        <w:t>Crassostrea virginica</w:t>
      </w:r>
      <w:r w:rsidR="00821EF3" w:rsidRPr="00114AD7">
        <w:rPr>
          <w:rFonts w:ascii="Times" w:hAnsi="Times"/>
        </w:rPr>
        <w:t xml:space="preserve"> (Gmelin, 1791), exposed to salinity and starvation stress. </w:t>
      </w:r>
      <w:r w:rsidR="00821EF3" w:rsidRPr="00114AD7">
        <w:rPr>
          <w:rFonts w:ascii="Times" w:hAnsi="Times"/>
          <w:i/>
        </w:rPr>
        <w:t>Journal of Shellfish Research</w:t>
      </w:r>
      <w:r w:rsidR="00821EF3" w:rsidRPr="00114AD7">
        <w:rPr>
          <w:rFonts w:ascii="Times" w:hAnsi="Times"/>
        </w:rPr>
        <w:t xml:space="preserve">, </w:t>
      </w:r>
      <w:r w:rsidR="00821EF3" w:rsidRPr="00114AD7">
        <w:rPr>
          <w:rFonts w:ascii="Times" w:hAnsi="Times"/>
          <w:i/>
        </w:rPr>
        <w:t>14</w:t>
      </w:r>
      <w:r w:rsidR="00821EF3" w:rsidRPr="00114AD7">
        <w:rPr>
          <w:rFonts w:ascii="Times" w:hAnsi="Times"/>
        </w:rPr>
        <w:t>(1), 105-111.</w:t>
      </w:r>
    </w:p>
    <w:p w14:paraId="7C33A00F" w14:textId="77777777" w:rsidR="00050D4D" w:rsidRDefault="00050D4D" w:rsidP="00590C70">
      <w:pPr>
        <w:pStyle w:val="Heading1"/>
      </w:pPr>
    </w:p>
    <w:p w14:paraId="34FFF800" w14:textId="77777777" w:rsidR="00050D4D" w:rsidRDefault="00050D4D" w:rsidP="00050D4D"/>
    <w:p w14:paraId="5AD9DCC8" w14:textId="77777777" w:rsidR="00050D4D" w:rsidRDefault="00050D4D" w:rsidP="00050D4D"/>
    <w:p w14:paraId="72F7DB1D" w14:textId="77777777" w:rsidR="00050D4D" w:rsidRDefault="00050D4D" w:rsidP="00050D4D"/>
    <w:p w14:paraId="299DEE68" w14:textId="77777777" w:rsidR="00050D4D" w:rsidRDefault="00050D4D" w:rsidP="00050D4D"/>
    <w:p w14:paraId="2ACFE3D3" w14:textId="77777777" w:rsidR="00050D4D" w:rsidRDefault="00050D4D" w:rsidP="00050D4D"/>
    <w:p w14:paraId="0463D98B" w14:textId="77777777" w:rsidR="00050D4D" w:rsidRDefault="00050D4D" w:rsidP="00050D4D"/>
    <w:p w14:paraId="059D4C57" w14:textId="77777777" w:rsidR="00050D4D" w:rsidRDefault="00050D4D" w:rsidP="00050D4D"/>
    <w:p w14:paraId="391A1D87" w14:textId="77777777" w:rsidR="00821EF3" w:rsidRDefault="00821EF3" w:rsidP="00050D4D">
      <w:pPr>
        <w:pStyle w:val="Heading1"/>
      </w:pPr>
    </w:p>
    <w:p w14:paraId="39EB8EF9" w14:textId="77777777" w:rsidR="00821EF3" w:rsidRDefault="00821EF3" w:rsidP="00050D4D">
      <w:pPr>
        <w:pStyle w:val="Heading1"/>
      </w:pPr>
    </w:p>
    <w:p w14:paraId="1CD8B283" w14:textId="77777777" w:rsidR="00821EF3" w:rsidRDefault="00821EF3" w:rsidP="00050D4D">
      <w:pPr>
        <w:pStyle w:val="Heading1"/>
      </w:pPr>
    </w:p>
    <w:p w14:paraId="40450D14" w14:textId="77777777" w:rsidR="00821EF3" w:rsidRDefault="00821EF3" w:rsidP="00050D4D">
      <w:pPr>
        <w:pStyle w:val="Heading1"/>
      </w:pPr>
    </w:p>
    <w:p w14:paraId="6C6EB7C6" w14:textId="77777777" w:rsidR="00821EF3" w:rsidRDefault="00821EF3" w:rsidP="00821EF3"/>
    <w:p w14:paraId="6E8D14D9" w14:textId="77777777" w:rsidR="00821EF3" w:rsidRDefault="00821EF3" w:rsidP="00821EF3"/>
    <w:p w14:paraId="3565B4A8" w14:textId="77777777" w:rsidR="00821EF3" w:rsidRDefault="00821EF3" w:rsidP="00821EF3"/>
    <w:p w14:paraId="19D05332" w14:textId="77777777" w:rsidR="00821EF3" w:rsidRDefault="00821EF3" w:rsidP="00821EF3"/>
    <w:p w14:paraId="6B4BD21B" w14:textId="20479659" w:rsidR="00590C70" w:rsidRPr="00564CD4" w:rsidRDefault="00590C70" w:rsidP="00E16191">
      <w:pPr>
        <w:pStyle w:val="Heading1"/>
      </w:pPr>
      <w:bookmarkStart w:id="112" w:name="_Toc257278854"/>
      <w:r>
        <w:t xml:space="preserve">Appendix C: List of Samples from 1 Week and 1 Month Elevated </w:t>
      </w:r>
      <w:r w:rsidRPr="00590C70">
        <w:rPr>
          <w:i/>
        </w:rPr>
        <w:t>p</w:t>
      </w:r>
      <w:r>
        <w:t>CO</w:t>
      </w:r>
      <w:r w:rsidRPr="00590C70">
        <w:rPr>
          <w:vertAlign w:val="subscript"/>
        </w:rPr>
        <w:t>2</w:t>
      </w:r>
      <w:r>
        <w:t xml:space="preserve"> Exposures</w:t>
      </w:r>
      <w:bookmarkEnd w:id="112"/>
    </w:p>
    <w:p w14:paraId="0970B171" w14:textId="60BF3775" w:rsidR="00564CD4" w:rsidRDefault="00564CD4" w:rsidP="00564CD4"/>
    <w:p w14:paraId="706EE2F3" w14:textId="77777777" w:rsidR="00920663" w:rsidRDefault="00590C70" w:rsidP="00050D4D">
      <w:pPr>
        <w:spacing w:line="360" w:lineRule="auto"/>
      </w:pPr>
      <w:r w:rsidRPr="00920663">
        <w:rPr>
          <w:rStyle w:val="Heading2Char"/>
        </w:rPr>
        <w:t>Explanation</w:t>
      </w:r>
      <w:r>
        <w:t xml:space="preserve">:  </w:t>
      </w:r>
    </w:p>
    <w:p w14:paraId="33DA27BB" w14:textId="77777777" w:rsidR="000E7E59" w:rsidRDefault="00920663" w:rsidP="00050D4D">
      <w:pPr>
        <w:spacing w:line="360" w:lineRule="auto"/>
        <w:rPr>
          <w:rFonts w:ascii="Times" w:hAnsi="Times"/>
        </w:rPr>
      </w:pPr>
      <w:r w:rsidRPr="00657DD0">
        <w:rPr>
          <w:rFonts w:ascii="Times" w:hAnsi="Times"/>
        </w:rPr>
        <w:t>Appendix C is a table of oyster tissues taken from an ocean acidification experiment done in January-February, 2012</w:t>
      </w:r>
      <w:r w:rsidR="00590C70" w:rsidRPr="00657DD0">
        <w:rPr>
          <w:rFonts w:ascii="Times" w:hAnsi="Times"/>
        </w:rPr>
        <w:t>.</w:t>
      </w:r>
      <w:r w:rsidRPr="00657DD0">
        <w:rPr>
          <w:rFonts w:ascii="Times" w:hAnsi="Times"/>
        </w:rPr>
        <w:t xml:space="preserve">  Some of these samples were analyzed and res</w:t>
      </w:r>
      <w:r w:rsidR="00E16191" w:rsidRPr="00657DD0">
        <w:rPr>
          <w:rFonts w:ascii="Times" w:hAnsi="Times"/>
        </w:rPr>
        <w:t>ults are presented in Chapters II and II</w:t>
      </w:r>
      <w:r w:rsidRPr="00657DD0">
        <w:rPr>
          <w:rFonts w:ascii="Times" w:hAnsi="Times"/>
        </w:rPr>
        <w:t xml:space="preserve"> and Appendices A and B.</w:t>
      </w:r>
      <w:r w:rsidR="00590C70" w:rsidRPr="00657DD0">
        <w:rPr>
          <w:rFonts w:ascii="Times" w:hAnsi="Times"/>
        </w:rPr>
        <w:t xml:space="preserve">  Samples with the prefix “Exp1” are from oysters that were exposed to elevated </w:t>
      </w:r>
      <w:r w:rsidR="00590C70" w:rsidRPr="00657DD0">
        <w:rPr>
          <w:rFonts w:ascii="Times" w:hAnsi="Times"/>
          <w:i/>
        </w:rPr>
        <w:t>p</w:t>
      </w:r>
      <w:r w:rsidR="00590C70" w:rsidRPr="00657DD0">
        <w:rPr>
          <w:rFonts w:ascii="Times" w:hAnsi="Times"/>
        </w:rPr>
        <w:t>CO</w:t>
      </w:r>
      <w:r w:rsidR="00590C70" w:rsidRPr="00657DD0">
        <w:rPr>
          <w:rFonts w:ascii="Times" w:hAnsi="Times"/>
          <w:vertAlign w:val="subscript"/>
        </w:rPr>
        <w:t>2</w:t>
      </w:r>
      <w:r w:rsidR="00590C70" w:rsidRPr="00657DD0">
        <w:rPr>
          <w:rFonts w:ascii="Times" w:hAnsi="Times"/>
        </w:rPr>
        <w:t xml:space="preserve"> for 1 week (these results are not presented in this dissertation).</w:t>
      </w:r>
      <w:r w:rsidRPr="00657DD0">
        <w:rPr>
          <w:rFonts w:ascii="Times" w:hAnsi="Times"/>
        </w:rPr>
        <w:t xml:space="preserve">  A subset of oysters from each </w:t>
      </w:r>
      <w:r w:rsidRPr="00657DD0">
        <w:rPr>
          <w:rFonts w:ascii="Times" w:hAnsi="Times"/>
          <w:i/>
        </w:rPr>
        <w:t>p</w:t>
      </w:r>
      <w:r w:rsidRPr="00657DD0">
        <w:rPr>
          <w:rFonts w:ascii="Times" w:hAnsi="Times"/>
        </w:rPr>
        <w:t>CO</w:t>
      </w:r>
      <w:r w:rsidRPr="00657DD0">
        <w:rPr>
          <w:rFonts w:ascii="Times" w:hAnsi="Times"/>
          <w:vertAlign w:val="subscript"/>
        </w:rPr>
        <w:t>2</w:t>
      </w:r>
      <w:r w:rsidRPr="00657DD0">
        <w:rPr>
          <w:rFonts w:ascii="Times" w:hAnsi="Times"/>
        </w:rPr>
        <w:t xml:space="preserve"> treatment were heat shocked at 38°C for 1 hour before sampling.</w:t>
      </w:r>
      <w:r w:rsidR="00590C70" w:rsidRPr="00657DD0">
        <w:rPr>
          <w:rFonts w:ascii="Times" w:hAnsi="Times"/>
        </w:rPr>
        <w:t xml:space="preserve">  There was a hiccup i</w:t>
      </w:r>
      <w:r w:rsidR="00553663" w:rsidRPr="00657DD0">
        <w:rPr>
          <w:rFonts w:ascii="Times" w:hAnsi="Times"/>
        </w:rPr>
        <w:t>n the water chemistry for the 1-</w:t>
      </w:r>
      <w:r w:rsidR="00590C70" w:rsidRPr="00657DD0">
        <w:rPr>
          <w:rFonts w:ascii="Times" w:hAnsi="Times"/>
        </w:rPr>
        <w:t xml:space="preserve">week experiment: for the 400 </w:t>
      </w:r>
      <w:r w:rsidR="00716F99" w:rsidRPr="00657DD0">
        <w:rPr>
          <w:rFonts w:ascii="Times" w:hAnsi="Times"/>
        </w:rPr>
        <w:t>μ</w:t>
      </w:r>
      <w:r w:rsidR="00590C70" w:rsidRPr="00657DD0">
        <w:rPr>
          <w:rFonts w:ascii="Times" w:hAnsi="Times"/>
        </w:rPr>
        <w:t>atm treatment (the control) the DuraFET probe was not accurately calibrated and for the first 36 hours of the experiment the pH of this treatment was around 7</w:t>
      </w:r>
      <w:r w:rsidRPr="00657DD0">
        <w:rPr>
          <w:rFonts w:ascii="Times" w:hAnsi="Times"/>
        </w:rPr>
        <w:t xml:space="preserve"> but was then switched to pH 8 for the remainder of the exposure</w:t>
      </w:r>
      <w:r w:rsidR="000E7E59" w:rsidRPr="00657DD0">
        <w:rPr>
          <w:rFonts w:ascii="Times" w:hAnsi="Times"/>
        </w:rPr>
        <w:t xml:space="preserve">.  The following is taken from my lab notebook from January 7, 2012: </w:t>
      </w:r>
    </w:p>
    <w:p w14:paraId="67EA91F4" w14:textId="77777777" w:rsidR="00657DD0" w:rsidRPr="00657DD0" w:rsidRDefault="00657DD0" w:rsidP="00050D4D">
      <w:pPr>
        <w:spacing w:line="360" w:lineRule="auto"/>
        <w:rPr>
          <w:rFonts w:ascii="Times" w:hAnsi="Times"/>
        </w:rPr>
      </w:pPr>
    </w:p>
    <w:p w14:paraId="70B6F052" w14:textId="3A115869" w:rsidR="000E7E59" w:rsidRPr="00657DD0" w:rsidRDefault="000E7E59" w:rsidP="000E7E59">
      <w:pPr>
        <w:spacing w:line="360" w:lineRule="auto"/>
        <w:rPr>
          <w:rFonts w:ascii="Times" w:eastAsia="Times New Roman" w:hAnsi="Times" w:cs="Times New Roman"/>
          <w:i/>
          <w:lang w:eastAsia="en-US"/>
        </w:rPr>
      </w:pPr>
      <w:r w:rsidRPr="00657DD0">
        <w:rPr>
          <w:rFonts w:ascii="Times" w:eastAsia="Times New Roman" w:hAnsi="Times" w:cs="Arial"/>
          <w:i/>
          <w:color w:val="000000"/>
          <w:shd w:val="clear" w:color="auto" w:fill="FFFFFF"/>
          <w:lang w:eastAsia="en-US"/>
        </w:rPr>
        <w:t>All probes were pretty accurate, except for 103A, which is the control treatment. The probe read a pH of about 8, but it was actually around 7. I verified this with a second spec pH. I calibrated the probe, drained the water and it quickly righted itself but the oysters were exposed to low pH water for about 36 hours.</w:t>
      </w:r>
    </w:p>
    <w:p w14:paraId="4679878A" w14:textId="77777777" w:rsidR="000E7E59" w:rsidRPr="00657DD0" w:rsidRDefault="000E7E59" w:rsidP="000E7E59">
      <w:pPr>
        <w:rPr>
          <w:rFonts w:ascii="Times" w:eastAsia="Times New Roman" w:hAnsi="Times" w:cs="Times New Roman"/>
          <w:lang w:eastAsia="en-US"/>
        </w:rPr>
      </w:pPr>
    </w:p>
    <w:p w14:paraId="6D87553A" w14:textId="68CF387D" w:rsidR="00590C70" w:rsidRPr="00657DD0" w:rsidRDefault="00716F99" w:rsidP="00050D4D">
      <w:pPr>
        <w:spacing w:line="360" w:lineRule="auto"/>
        <w:rPr>
          <w:rFonts w:ascii="Times" w:hAnsi="Times"/>
        </w:rPr>
      </w:pPr>
      <w:r w:rsidRPr="00657DD0">
        <w:rPr>
          <w:rFonts w:ascii="Times" w:hAnsi="Times"/>
        </w:rPr>
        <w:t>Samples with the prefix “Exp2” are from the month-long experiment, the results of which are presented above.</w:t>
      </w:r>
    </w:p>
    <w:p w14:paraId="5E12A72E" w14:textId="77777777" w:rsidR="00716F99" w:rsidRPr="00657DD0" w:rsidRDefault="00716F99" w:rsidP="00050D4D">
      <w:pPr>
        <w:spacing w:line="360" w:lineRule="auto"/>
        <w:rPr>
          <w:rFonts w:ascii="Times" w:hAnsi="Times"/>
        </w:rPr>
      </w:pPr>
    </w:p>
    <w:p w14:paraId="27AA38E7" w14:textId="77777777" w:rsidR="00DD570A" w:rsidRDefault="00716F99" w:rsidP="00050D4D">
      <w:pPr>
        <w:spacing w:line="360" w:lineRule="auto"/>
        <w:rPr>
          <w:rFonts w:ascii="Times" w:hAnsi="Times"/>
        </w:rPr>
      </w:pPr>
      <w:r w:rsidRPr="00657DD0">
        <w:rPr>
          <w:rFonts w:ascii="Times" w:hAnsi="Times"/>
        </w:rPr>
        <w:t xml:space="preserve">Each row in the spreadsheet represents one oyster.  For most oysters, two separate gill samples were taken and for Exp2 oysters the remaining body tissues (“whole body”) were also preserved.  Histology sections were taken for every oyster.  Treatment indicates which </w:t>
      </w:r>
      <w:r w:rsidRPr="00657DD0">
        <w:rPr>
          <w:rFonts w:ascii="Times" w:hAnsi="Times"/>
          <w:i/>
        </w:rPr>
        <w:t>p</w:t>
      </w:r>
      <w:r w:rsidRPr="00657DD0">
        <w:rPr>
          <w:rFonts w:ascii="Times" w:hAnsi="Times"/>
        </w:rPr>
        <w:t>CO</w:t>
      </w:r>
      <w:r w:rsidRPr="00657DD0">
        <w:rPr>
          <w:rFonts w:ascii="Times" w:hAnsi="Times"/>
          <w:vertAlign w:val="subscript"/>
        </w:rPr>
        <w:t>2</w:t>
      </w:r>
      <w:r w:rsidRPr="00657DD0">
        <w:rPr>
          <w:rFonts w:ascii="Times" w:hAnsi="Times"/>
        </w:rPr>
        <w:t xml:space="preserve"> the oyster was exposed to (400-2800 μatm) and which additional stress, if any (HS = heat shock, MS = mechanical stress).  Cells highlighted in yellow indicate that a tissue sample was already used for an experiment.</w:t>
      </w:r>
      <w:r w:rsidR="00553663" w:rsidRPr="00657DD0">
        <w:rPr>
          <w:rFonts w:ascii="Times" w:hAnsi="Times"/>
        </w:rPr>
        <w:t xml:space="preserve">  For many of these, there is still biological material available for further analysis (RNA, protein, glycogen, fatty acid, ground tissue).</w:t>
      </w:r>
      <w:r w:rsidRPr="00657DD0">
        <w:rPr>
          <w:rFonts w:ascii="Times" w:hAnsi="Times"/>
        </w:rPr>
        <w:t xml:space="preserve">  In the “Notes” column, the types of analyses done on each oyster are listed.</w:t>
      </w:r>
    </w:p>
    <w:p w14:paraId="50BDE12B" w14:textId="70AE325C" w:rsidR="00DD570A" w:rsidRDefault="00B74A69" w:rsidP="00050D4D">
      <w:pPr>
        <w:spacing w:line="360" w:lineRule="auto"/>
        <w:rPr>
          <w:rFonts w:ascii="Times" w:hAnsi="Times"/>
        </w:rPr>
      </w:pPr>
      <w:r>
        <w:rPr>
          <w:rFonts w:ascii="Times" w:hAnsi="Times"/>
          <w:noProof/>
          <w:lang w:eastAsia="en-US"/>
        </w:rPr>
        <w:drawing>
          <wp:inline distT="0" distB="0" distL="0" distR="0" wp14:anchorId="65CED68D" wp14:editId="120DD9DA">
            <wp:extent cx="6452235" cy="44777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c figure 1 week.jpg"/>
                    <pic:cNvPicPr/>
                  </pic:nvPicPr>
                  <pic:blipFill>
                    <a:blip r:embed="rId42">
                      <a:extLst>
                        <a:ext uri="{28A0092B-C50C-407E-A947-70E740481C1C}">
                          <a14:useLocalDpi xmlns:a14="http://schemas.microsoft.com/office/drawing/2010/main" val="0"/>
                        </a:ext>
                      </a:extLst>
                    </a:blip>
                    <a:stretch>
                      <a:fillRect/>
                    </a:stretch>
                  </pic:blipFill>
                  <pic:spPr>
                    <a:xfrm>
                      <a:off x="0" y="0"/>
                      <a:ext cx="6452235" cy="4477732"/>
                    </a:xfrm>
                    <a:prstGeom prst="rect">
                      <a:avLst/>
                    </a:prstGeom>
                  </pic:spPr>
                </pic:pic>
              </a:graphicData>
            </a:graphic>
          </wp:inline>
        </w:drawing>
      </w:r>
    </w:p>
    <w:p w14:paraId="55E0BE05" w14:textId="1D7FBD48" w:rsidR="00DD570A" w:rsidRDefault="00DD570A" w:rsidP="00050D4D">
      <w:pPr>
        <w:spacing w:line="360" w:lineRule="auto"/>
        <w:rPr>
          <w:rFonts w:ascii="Times" w:hAnsi="Times"/>
        </w:rPr>
      </w:pPr>
      <w:r>
        <w:rPr>
          <w:rFonts w:ascii="Times" w:hAnsi="Times"/>
        </w:rPr>
        <w:t>Figure Appendix C1. Sample use for experiment 1 (week-long exposure to ocean acidification).  Sample allocation among heat shock treatments post ocean acidification incubation.  None of these samples have been processed for analysis.  For details, see attached Appendix C spreadsheet.</w:t>
      </w:r>
    </w:p>
    <w:p w14:paraId="29E6A893" w14:textId="1A8044EE" w:rsidR="00DD570A" w:rsidRDefault="00B74A69" w:rsidP="00050D4D">
      <w:pPr>
        <w:spacing w:line="360" w:lineRule="auto"/>
        <w:rPr>
          <w:rFonts w:ascii="Times" w:hAnsi="Times"/>
        </w:rPr>
      </w:pPr>
      <w:r>
        <w:rPr>
          <w:rFonts w:ascii="Times" w:hAnsi="Times"/>
          <w:noProof/>
          <w:lang w:eastAsia="en-US"/>
        </w:rPr>
        <w:drawing>
          <wp:inline distT="0" distB="0" distL="0" distR="0" wp14:anchorId="45E126B1" wp14:editId="4FAC3547">
            <wp:extent cx="6499956" cy="4003040"/>
            <wp:effectExtent l="0" t="0" r="254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c figure.jpg"/>
                    <pic:cNvPicPr/>
                  </pic:nvPicPr>
                  <pic:blipFill>
                    <a:blip r:embed="rId43">
                      <a:extLst>
                        <a:ext uri="{28A0092B-C50C-407E-A947-70E740481C1C}">
                          <a14:useLocalDpi xmlns:a14="http://schemas.microsoft.com/office/drawing/2010/main" val="0"/>
                        </a:ext>
                      </a:extLst>
                    </a:blip>
                    <a:stretch>
                      <a:fillRect/>
                    </a:stretch>
                  </pic:blipFill>
                  <pic:spPr>
                    <a:xfrm>
                      <a:off x="0" y="0"/>
                      <a:ext cx="6499956" cy="4003040"/>
                    </a:xfrm>
                    <a:prstGeom prst="rect">
                      <a:avLst/>
                    </a:prstGeom>
                  </pic:spPr>
                </pic:pic>
              </a:graphicData>
            </a:graphic>
          </wp:inline>
        </w:drawing>
      </w:r>
    </w:p>
    <w:p w14:paraId="1E60BF0A" w14:textId="73B3C747" w:rsidR="00DD570A" w:rsidRDefault="00DD570A" w:rsidP="00050D4D">
      <w:pPr>
        <w:spacing w:line="360" w:lineRule="auto"/>
        <w:rPr>
          <w:rFonts w:ascii="Times" w:hAnsi="Times"/>
        </w:rPr>
      </w:pPr>
      <w:r>
        <w:rPr>
          <w:rFonts w:ascii="Times" w:hAnsi="Times"/>
        </w:rPr>
        <w:t xml:space="preserve">Figure Appendix C2. Sample use for experiment 2 (month-long exposure to ocean acidification).  Gray numbers indicate sample size taken for different assays.  The numbers of oysters used for each assay can be found in the supplemental spreadsheet for Appendix C.  If no samples have been analyzed for a particular set of oysters, that is indicated.  </w:t>
      </w:r>
    </w:p>
    <w:p w14:paraId="16D4847E" w14:textId="36394ACA" w:rsidR="006B1DF6" w:rsidRPr="00DD570A" w:rsidRDefault="006B1DF6" w:rsidP="00050D4D">
      <w:pPr>
        <w:spacing w:line="360" w:lineRule="auto"/>
        <w:rPr>
          <w:rFonts w:ascii="Times" w:hAnsi="Times"/>
        </w:rPr>
      </w:pPr>
    </w:p>
    <w:sectPr w:rsidR="006B1DF6" w:rsidRPr="00DD570A" w:rsidSect="007570D3">
      <w:footerReference w:type="even" r:id="rId44"/>
      <w:footerReference w:type="default" r:id="rId4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319AF" w14:textId="77777777" w:rsidR="0099342F" w:rsidRDefault="0099342F" w:rsidP="009454B5">
      <w:r>
        <w:separator/>
      </w:r>
    </w:p>
  </w:endnote>
  <w:endnote w:type="continuationSeparator" w:id="0">
    <w:p w14:paraId="155D416A" w14:textId="77777777" w:rsidR="0099342F" w:rsidRDefault="0099342F" w:rsidP="0094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yriad Pro Light">
    <w:altName w:val="Cambria"/>
    <w:panose1 w:val="00000000000000000000"/>
    <w:charset w:val="4D"/>
    <w:family w:val="swiss"/>
    <w:notTrueType/>
    <w:pitch w:val="default"/>
    <w:sig w:usb0="00000003" w:usb1="00000000" w:usb2="00000000" w:usb3="00000000" w:csb0="00000001" w:csb1="00000000"/>
  </w:font>
  <w:font w:name="Sabon">
    <w:altName w:val="Sabo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Times">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404B7" w14:textId="77777777" w:rsidR="0099342F" w:rsidRDefault="0099342F" w:rsidP="00945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90575B" w14:textId="77777777" w:rsidR="0099342F" w:rsidRDefault="0099342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F2F42" w14:textId="77777777" w:rsidR="0099342F" w:rsidRDefault="0099342F" w:rsidP="00945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179C5">
      <w:rPr>
        <w:rStyle w:val="PageNumber"/>
        <w:noProof/>
      </w:rPr>
      <w:t>1</w:t>
    </w:r>
    <w:r>
      <w:rPr>
        <w:rStyle w:val="PageNumber"/>
      </w:rPr>
      <w:fldChar w:fldCharType="end"/>
    </w:r>
  </w:p>
  <w:p w14:paraId="2CD03A74" w14:textId="77777777" w:rsidR="0099342F" w:rsidRDefault="009934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0F627" w14:textId="77777777" w:rsidR="0099342F" w:rsidRDefault="0099342F" w:rsidP="009454B5">
      <w:r>
        <w:separator/>
      </w:r>
    </w:p>
  </w:footnote>
  <w:footnote w:type="continuationSeparator" w:id="0">
    <w:p w14:paraId="1F85A63E" w14:textId="77777777" w:rsidR="0099342F" w:rsidRDefault="0099342F" w:rsidP="009454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0F0"/>
    <w:rsid w:val="000362D9"/>
    <w:rsid w:val="0003720F"/>
    <w:rsid w:val="00040FE7"/>
    <w:rsid w:val="00050D4D"/>
    <w:rsid w:val="00071B1D"/>
    <w:rsid w:val="00076011"/>
    <w:rsid w:val="0008341D"/>
    <w:rsid w:val="00086257"/>
    <w:rsid w:val="000A3584"/>
    <w:rsid w:val="000A4A95"/>
    <w:rsid w:val="000D35D8"/>
    <w:rsid w:val="000E7E59"/>
    <w:rsid w:val="000F46A0"/>
    <w:rsid w:val="000F7C6D"/>
    <w:rsid w:val="00100FB6"/>
    <w:rsid w:val="001010D9"/>
    <w:rsid w:val="0010772F"/>
    <w:rsid w:val="00114AD7"/>
    <w:rsid w:val="001174D0"/>
    <w:rsid w:val="00130429"/>
    <w:rsid w:val="0013210F"/>
    <w:rsid w:val="00160C02"/>
    <w:rsid w:val="00162C71"/>
    <w:rsid w:val="0016707F"/>
    <w:rsid w:val="00173404"/>
    <w:rsid w:val="00175E16"/>
    <w:rsid w:val="00176EF1"/>
    <w:rsid w:val="00177103"/>
    <w:rsid w:val="00191D78"/>
    <w:rsid w:val="001955DD"/>
    <w:rsid w:val="001B113E"/>
    <w:rsid w:val="001C03BF"/>
    <w:rsid w:val="001C08F9"/>
    <w:rsid w:val="001D4FF0"/>
    <w:rsid w:val="002053D6"/>
    <w:rsid w:val="00210D10"/>
    <w:rsid w:val="00216B3B"/>
    <w:rsid w:val="002170A6"/>
    <w:rsid w:val="002214CA"/>
    <w:rsid w:val="0024555E"/>
    <w:rsid w:val="00260602"/>
    <w:rsid w:val="00264A18"/>
    <w:rsid w:val="00295E93"/>
    <w:rsid w:val="002A2EFE"/>
    <w:rsid w:val="002A3DE3"/>
    <w:rsid w:val="002C7B21"/>
    <w:rsid w:val="002D577E"/>
    <w:rsid w:val="002F09AA"/>
    <w:rsid w:val="002F5FFC"/>
    <w:rsid w:val="0030116B"/>
    <w:rsid w:val="00304230"/>
    <w:rsid w:val="00305757"/>
    <w:rsid w:val="00326AC2"/>
    <w:rsid w:val="00353A53"/>
    <w:rsid w:val="0035708D"/>
    <w:rsid w:val="00357B4F"/>
    <w:rsid w:val="0036143A"/>
    <w:rsid w:val="00363A7C"/>
    <w:rsid w:val="00367483"/>
    <w:rsid w:val="0039086A"/>
    <w:rsid w:val="003C02A3"/>
    <w:rsid w:val="003C61BD"/>
    <w:rsid w:val="003D2C26"/>
    <w:rsid w:val="003E5089"/>
    <w:rsid w:val="003F561B"/>
    <w:rsid w:val="004238B2"/>
    <w:rsid w:val="00423E2A"/>
    <w:rsid w:val="00426D9F"/>
    <w:rsid w:val="00433E37"/>
    <w:rsid w:val="00434492"/>
    <w:rsid w:val="0045586B"/>
    <w:rsid w:val="00463F94"/>
    <w:rsid w:val="00467896"/>
    <w:rsid w:val="004D3638"/>
    <w:rsid w:val="004D4384"/>
    <w:rsid w:val="00501523"/>
    <w:rsid w:val="00511229"/>
    <w:rsid w:val="00513874"/>
    <w:rsid w:val="0052729A"/>
    <w:rsid w:val="00534DA8"/>
    <w:rsid w:val="00535AF0"/>
    <w:rsid w:val="00553663"/>
    <w:rsid w:val="005643FD"/>
    <w:rsid w:val="00564CD4"/>
    <w:rsid w:val="00581C49"/>
    <w:rsid w:val="0059047D"/>
    <w:rsid w:val="00590C70"/>
    <w:rsid w:val="005B03F6"/>
    <w:rsid w:val="005C024F"/>
    <w:rsid w:val="005C1814"/>
    <w:rsid w:val="005D5AC2"/>
    <w:rsid w:val="005E6037"/>
    <w:rsid w:val="005F2A7B"/>
    <w:rsid w:val="006121D9"/>
    <w:rsid w:val="00624850"/>
    <w:rsid w:val="006259AF"/>
    <w:rsid w:val="006315D6"/>
    <w:rsid w:val="00642A5C"/>
    <w:rsid w:val="00643660"/>
    <w:rsid w:val="00650BE8"/>
    <w:rsid w:val="00657DD0"/>
    <w:rsid w:val="00661422"/>
    <w:rsid w:val="006B1DF6"/>
    <w:rsid w:val="006D249D"/>
    <w:rsid w:val="006F283A"/>
    <w:rsid w:val="0070002F"/>
    <w:rsid w:val="007022AF"/>
    <w:rsid w:val="007128BB"/>
    <w:rsid w:val="00716F99"/>
    <w:rsid w:val="00722A74"/>
    <w:rsid w:val="007245FE"/>
    <w:rsid w:val="00724B3E"/>
    <w:rsid w:val="00730183"/>
    <w:rsid w:val="00732DA8"/>
    <w:rsid w:val="007570D3"/>
    <w:rsid w:val="00785BFB"/>
    <w:rsid w:val="00785E11"/>
    <w:rsid w:val="007903B1"/>
    <w:rsid w:val="0079169C"/>
    <w:rsid w:val="00791791"/>
    <w:rsid w:val="007969FC"/>
    <w:rsid w:val="007A6C9F"/>
    <w:rsid w:val="007C548F"/>
    <w:rsid w:val="007D5CFF"/>
    <w:rsid w:val="007E4E65"/>
    <w:rsid w:val="008014F1"/>
    <w:rsid w:val="0081407C"/>
    <w:rsid w:val="00821EF3"/>
    <w:rsid w:val="00823355"/>
    <w:rsid w:val="00841603"/>
    <w:rsid w:val="00860E0A"/>
    <w:rsid w:val="008677CA"/>
    <w:rsid w:val="00872E37"/>
    <w:rsid w:val="00877472"/>
    <w:rsid w:val="008960B9"/>
    <w:rsid w:val="008B06D8"/>
    <w:rsid w:val="008C2481"/>
    <w:rsid w:val="008D6E3F"/>
    <w:rsid w:val="008E51E2"/>
    <w:rsid w:val="009079FD"/>
    <w:rsid w:val="00914D90"/>
    <w:rsid w:val="009179C5"/>
    <w:rsid w:val="00920663"/>
    <w:rsid w:val="00921C23"/>
    <w:rsid w:val="00934525"/>
    <w:rsid w:val="00941786"/>
    <w:rsid w:val="009454B5"/>
    <w:rsid w:val="0096381E"/>
    <w:rsid w:val="00977E95"/>
    <w:rsid w:val="0099132B"/>
    <w:rsid w:val="009918AC"/>
    <w:rsid w:val="00992A9D"/>
    <w:rsid w:val="0099342F"/>
    <w:rsid w:val="009B254F"/>
    <w:rsid w:val="009D7556"/>
    <w:rsid w:val="00A076C9"/>
    <w:rsid w:val="00A10CC1"/>
    <w:rsid w:val="00A14DF5"/>
    <w:rsid w:val="00A15736"/>
    <w:rsid w:val="00A16689"/>
    <w:rsid w:val="00A42AD1"/>
    <w:rsid w:val="00A61FA8"/>
    <w:rsid w:val="00A73320"/>
    <w:rsid w:val="00AB0DC5"/>
    <w:rsid w:val="00AC2902"/>
    <w:rsid w:val="00AC2BC9"/>
    <w:rsid w:val="00AC2C9D"/>
    <w:rsid w:val="00AE3E08"/>
    <w:rsid w:val="00AE4FCF"/>
    <w:rsid w:val="00B02295"/>
    <w:rsid w:val="00B12147"/>
    <w:rsid w:val="00B25B7F"/>
    <w:rsid w:val="00B2686F"/>
    <w:rsid w:val="00B42A60"/>
    <w:rsid w:val="00B457DF"/>
    <w:rsid w:val="00B51F71"/>
    <w:rsid w:val="00B74A69"/>
    <w:rsid w:val="00BB2FCF"/>
    <w:rsid w:val="00BB44A9"/>
    <w:rsid w:val="00BB47F6"/>
    <w:rsid w:val="00BC5F99"/>
    <w:rsid w:val="00BE45C8"/>
    <w:rsid w:val="00BE6A23"/>
    <w:rsid w:val="00C02D9B"/>
    <w:rsid w:val="00C03CD6"/>
    <w:rsid w:val="00C15026"/>
    <w:rsid w:val="00C26D9D"/>
    <w:rsid w:val="00C44DB0"/>
    <w:rsid w:val="00C661F6"/>
    <w:rsid w:val="00C7287C"/>
    <w:rsid w:val="00C85C10"/>
    <w:rsid w:val="00CA19DA"/>
    <w:rsid w:val="00CA1ED0"/>
    <w:rsid w:val="00CB5AAE"/>
    <w:rsid w:val="00CC339E"/>
    <w:rsid w:val="00CD3568"/>
    <w:rsid w:val="00CD79A7"/>
    <w:rsid w:val="00CF48FE"/>
    <w:rsid w:val="00D03E5E"/>
    <w:rsid w:val="00D37AAA"/>
    <w:rsid w:val="00D62029"/>
    <w:rsid w:val="00D638F2"/>
    <w:rsid w:val="00D826A9"/>
    <w:rsid w:val="00D92FB6"/>
    <w:rsid w:val="00DB07FF"/>
    <w:rsid w:val="00DB3ADB"/>
    <w:rsid w:val="00DD570A"/>
    <w:rsid w:val="00DD7F43"/>
    <w:rsid w:val="00DF70F0"/>
    <w:rsid w:val="00E01B09"/>
    <w:rsid w:val="00E16191"/>
    <w:rsid w:val="00E179B3"/>
    <w:rsid w:val="00E31863"/>
    <w:rsid w:val="00E45DDD"/>
    <w:rsid w:val="00E57114"/>
    <w:rsid w:val="00E833DC"/>
    <w:rsid w:val="00E90BBA"/>
    <w:rsid w:val="00E90EDA"/>
    <w:rsid w:val="00EA3E29"/>
    <w:rsid w:val="00EB59F7"/>
    <w:rsid w:val="00EC2EC9"/>
    <w:rsid w:val="00EC50CE"/>
    <w:rsid w:val="00ED7FBC"/>
    <w:rsid w:val="00EE4106"/>
    <w:rsid w:val="00EE4D1C"/>
    <w:rsid w:val="00EF08DD"/>
    <w:rsid w:val="00EF2726"/>
    <w:rsid w:val="00EF7B60"/>
    <w:rsid w:val="00F061DB"/>
    <w:rsid w:val="00F11BEB"/>
    <w:rsid w:val="00F15F9A"/>
    <w:rsid w:val="00F451C2"/>
    <w:rsid w:val="00F555CC"/>
    <w:rsid w:val="00F56FA1"/>
    <w:rsid w:val="00F6256A"/>
    <w:rsid w:val="00F66D5B"/>
    <w:rsid w:val="00F814BA"/>
    <w:rsid w:val="00F831A9"/>
    <w:rsid w:val="00FA07E7"/>
    <w:rsid w:val="00FC15CF"/>
    <w:rsid w:val="00FD2D9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B00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paragraph" w:styleId="Heading1">
    <w:name w:val="heading 1"/>
    <w:basedOn w:val="Normal"/>
    <w:next w:val="Normal"/>
    <w:link w:val="Heading1Char"/>
    <w:uiPriority w:val="9"/>
    <w:qFormat/>
    <w:rsid w:val="00C02D9B"/>
    <w:pPr>
      <w:keepNext/>
      <w:keepLines/>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C02D9B"/>
    <w:pPr>
      <w:keepNext/>
      <w:keepLines/>
      <w:spacing w:before="200"/>
      <w:outlineLvl w:val="1"/>
    </w:pPr>
    <w:rPr>
      <w:rFonts w:ascii="Times" w:eastAsiaTheme="majorEastAsia" w:hAnsi="Times" w:cstheme="majorBidi"/>
      <w:b/>
      <w:bCs/>
      <w:i/>
      <w:sz w:val="26"/>
      <w:szCs w:val="26"/>
    </w:rPr>
  </w:style>
  <w:style w:type="paragraph" w:styleId="Heading3">
    <w:name w:val="heading 3"/>
    <w:basedOn w:val="Normal"/>
    <w:next w:val="Normal"/>
    <w:link w:val="Heading3Char"/>
    <w:uiPriority w:val="9"/>
    <w:unhideWhenUsed/>
    <w:qFormat/>
    <w:rsid w:val="00C02D9B"/>
    <w:pPr>
      <w:keepNext/>
      <w:keepLines/>
      <w:spacing w:before="200"/>
      <w:outlineLvl w:val="2"/>
    </w:pPr>
    <w:rPr>
      <w:rFonts w:ascii="Times" w:eastAsiaTheme="majorEastAsia" w:hAnsi="Times" w:cstheme="majorBidi"/>
      <w:bCs/>
      <w:i/>
    </w:rPr>
  </w:style>
  <w:style w:type="paragraph" w:styleId="Heading4">
    <w:name w:val="heading 4"/>
    <w:basedOn w:val="Normal"/>
    <w:next w:val="Normal"/>
    <w:link w:val="Heading4Char"/>
    <w:uiPriority w:val="9"/>
    <w:unhideWhenUsed/>
    <w:qFormat/>
    <w:rsid w:val="00CD3568"/>
    <w:pPr>
      <w:keepNext/>
      <w:keepLines/>
      <w:spacing w:before="200"/>
      <w:outlineLvl w:val="3"/>
    </w:pPr>
    <w:rPr>
      <w:rFonts w:asciiTheme="majorHAnsi" w:eastAsiaTheme="majorEastAsia" w:hAnsiTheme="majorHAnsi" w:cstheme="majorBidi"/>
      <w:bCs/>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D9B"/>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C02D9B"/>
    <w:rPr>
      <w:rFonts w:ascii="Times" w:eastAsiaTheme="majorEastAsia" w:hAnsi="Times" w:cstheme="majorBidi"/>
      <w:b/>
      <w:bCs/>
      <w:i/>
      <w:sz w:val="26"/>
      <w:szCs w:val="26"/>
    </w:rPr>
  </w:style>
  <w:style w:type="character" w:customStyle="1" w:styleId="Heading3Char">
    <w:name w:val="Heading 3 Char"/>
    <w:basedOn w:val="DefaultParagraphFont"/>
    <w:link w:val="Heading3"/>
    <w:uiPriority w:val="9"/>
    <w:rsid w:val="00C02D9B"/>
    <w:rPr>
      <w:rFonts w:ascii="Times" w:eastAsiaTheme="majorEastAsia" w:hAnsi="Times" w:cstheme="majorBidi"/>
      <w:bCs/>
      <w:i/>
      <w:sz w:val="24"/>
      <w:szCs w:val="24"/>
    </w:rPr>
  </w:style>
  <w:style w:type="paragraph" w:styleId="TOC1">
    <w:name w:val="toc 1"/>
    <w:basedOn w:val="Normal"/>
    <w:next w:val="Normal"/>
    <w:autoRedefine/>
    <w:uiPriority w:val="39"/>
    <w:unhideWhenUsed/>
    <w:rsid w:val="00C02D9B"/>
  </w:style>
  <w:style w:type="paragraph" w:styleId="TOC2">
    <w:name w:val="toc 2"/>
    <w:basedOn w:val="Normal"/>
    <w:next w:val="Normal"/>
    <w:autoRedefine/>
    <w:uiPriority w:val="39"/>
    <w:unhideWhenUsed/>
    <w:rsid w:val="00C02D9B"/>
    <w:pPr>
      <w:ind w:left="240"/>
    </w:pPr>
  </w:style>
  <w:style w:type="paragraph" w:styleId="TOC3">
    <w:name w:val="toc 3"/>
    <w:basedOn w:val="Normal"/>
    <w:next w:val="Normal"/>
    <w:autoRedefine/>
    <w:uiPriority w:val="39"/>
    <w:unhideWhenUsed/>
    <w:rsid w:val="009454B5"/>
    <w:pPr>
      <w:tabs>
        <w:tab w:val="right" w:leader="dot" w:pos="8630"/>
      </w:tabs>
      <w:ind w:left="480"/>
    </w:pPr>
  </w:style>
  <w:style w:type="paragraph" w:styleId="TOC4">
    <w:name w:val="toc 4"/>
    <w:basedOn w:val="Normal"/>
    <w:next w:val="Normal"/>
    <w:autoRedefine/>
    <w:uiPriority w:val="39"/>
    <w:unhideWhenUsed/>
    <w:rsid w:val="00C02D9B"/>
    <w:pPr>
      <w:ind w:left="720"/>
    </w:pPr>
  </w:style>
  <w:style w:type="paragraph" w:styleId="TOC5">
    <w:name w:val="toc 5"/>
    <w:basedOn w:val="Normal"/>
    <w:next w:val="Normal"/>
    <w:autoRedefine/>
    <w:uiPriority w:val="39"/>
    <w:unhideWhenUsed/>
    <w:rsid w:val="00C02D9B"/>
    <w:pPr>
      <w:ind w:left="960"/>
    </w:pPr>
  </w:style>
  <w:style w:type="paragraph" w:styleId="TOC6">
    <w:name w:val="toc 6"/>
    <w:basedOn w:val="Normal"/>
    <w:next w:val="Normal"/>
    <w:autoRedefine/>
    <w:uiPriority w:val="39"/>
    <w:unhideWhenUsed/>
    <w:rsid w:val="00C02D9B"/>
    <w:pPr>
      <w:ind w:left="1200"/>
    </w:pPr>
  </w:style>
  <w:style w:type="paragraph" w:styleId="TOC7">
    <w:name w:val="toc 7"/>
    <w:basedOn w:val="Normal"/>
    <w:next w:val="Normal"/>
    <w:autoRedefine/>
    <w:uiPriority w:val="39"/>
    <w:unhideWhenUsed/>
    <w:rsid w:val="00C02D9B"/>
    <w:pPr>
      <w:ind w:left="1440"/>
    </w:pPr>
  </w:style>
  <w:style w:type="paragraph" w:styleId="TOC8">
    <w:name w:val="toc 8"/>
    <w:basedOn w:val="Normal"/>
    <w:next w:val="Normal"/>
    <w:autoRedefine/>
    <w:uiPriority w:val="39"/>
    <w:unhideWhenUsed/>
    <w:rsid w:val="00C02D9B"/>
    <w:pPr>
      <w:ind w:left="1680"/>
    </w:pPr>
  </w:style>
  <w:style w:type="paragraph" w:styleId="TOC9">
    <w:name w:val="toc 9"/>
    <w:basedOn w:val="Normal"/>
    <w:next w:val="Normal"/>
    <w:autoRedefine/>
    <w:uiPriority w:val="39"/>
    <w:unhideWhenUsed/>
    <w:rsid w:val="00C02D9B"/>
    <w:pPr>
      <w:ind w:left="1920"/>
    </w:pPr>
  </w:style>
  <w:style w:type="paragraph" w:styleId="BalloonText">
    <w:name w:val="Balloon Text"/>
    <w:basedOn w:val="Normal"/>
    <w:link w:val="BalloonTextChar"/>
    <w:uiPriority w:val="99"/>
    <w:semiHidden/>
    <w:unhideWhenUsed/>
    <w:rsid w:val="0059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47D"/>
    <w:rPr>
      <w:rFonts w:ascii="Lucida Grande" w:hAnsi="Lucida Grande" w:cs="Lucida Grande"/>
      <w:sz w:val="18"/>
      <w:szCs w:val="18"/>
    </w:rPr>
  </w:style>
  <w:style w:type="paragraph" w:customStyle="1" w:styleId="Default">
    <w:name w:val="Default"/>
    <w:rsid w:val="00722A74"/>
    <w:pPr>
      <w:widowControl w:val="0"/>
      <w:autoSpaceDE w:val="0"/>
      <w:autoSpaceDN w:val="0"/>
      <w:adjustRightInd w:val="0"/>
    </w:pPr>
    <w:rPr>
      <w:rFonts w:ascii="Myriad Pro Light" w:hAnsi="Myriad Pro Light" w:cs="Myriad Pro Light"/>
      <w:color w:val="000000"/>
      <w:sz w:val="24"/>
      <w:szCs w:val="24"/>
    </w:rPr>
  </w:style>
  <w:style w:type="paragraph" w:customStyle="1" w:styleId="Pa16">
    <w:name w:val="Pa16"/>
    <w:basedOn w:val="Default"/>
    <w:next w:val="Default"/>
    <w:uiPriority w:val="99"/>
    <w:rsid w:val="00326AC2"/>
    <w:pPr>
      <w:spacing w:line="181" w:lineRule="atLeast"/>
    </w:pPr>
    <w:rPr>
      <w:rFonts w:ascii="Sabon" w:hAnsi="Sabon" w:cs="Times New Roman"/>
      <w:color w:val="auto"/>
    </w:rPr>
  </w:style>
  <w:style w:type="character" w:customStyle="1" w:styleId="A9">
    <w:name w:val="A9"/>
    <w:uiPriority w:val="99"/>
    <w:rsid w:val="00326AC2"/>
    <w:rPr>
      <w:rFonts w:cs="Sabon"/>
      <w:color w:val="000000"/>
      <w:sz w:val="11"/>
      <w:szCs w:val="11"/>
    </w:rPr>
  </w:style>
  <w:style w:type="character" w:customStyle="1" w:styleId="A10">
    <w:name w:val="A10"/>
    <w:uiPriority w:val="99"/>
    <w:rsid w:val="00326AC2"/>
    <w:rPr>
      <w:rFonts w:cs="Sabon"/>
      <w:color w:val="000000"/>
      <w:sz w:val="11"/>
      <w:szCs w:val="11"/>
    </w:rPr>
  </w:style>
  <w:style w:type="paragraph" w:customStyle="1" w:styleId="Pa13">
    <w:name w:val="Pa13"/>
    <w:basedOn w:val="Default"/>
    <w:next w:val="Default"/>
    <w:uiPriority w:val="99"/>
    <w:rsid w:val="00326AC2"/>
    <w:pPr>
      <w:spacing w:line="181" w:lineRule="atLeast"/>
    </w:pPr>
    <w:rPr>
      <w:rFonts w:ascii="Sabon" w:hAnsi="Sabon" w:cs="Times New Roman"/>
      <w:color w:val="auto"/>
    </w:rPr>
  </w:style>
  <w:style w:type="paragraph" w:customStyle="1" w:styleId="normal0">
    <w:name w:val="normal"/>
    <w:rsid w:val="00732DA8"/>
    <w:pPr>
      <w:spacing w:line="276" w:lineRule="auto"/>
    </w:pPr>
    <w:rPr>
      <w:rFonts w:ascii="Arial" w:eastAsia="Arial" w:hAnsi="Arial" w:cs="Arial"/>
      <w:color w:val="000000"/>
      <w:sz w:val="22"/>
      <w:szCs w:val="24"/>
    </w:rPr>
  </w:style>
  <w:style w:type="paragraph" w:styleId="Caption">
    <w:name w:val="caption"/>
    <w:basedOn w:val="Normal"/>
    <w:next w:val="Normal"/>
    <w:uiPriority w:val="35"/>
    <w:unhideWhenUsed/>
    <w:qFormat/>
    <w:rsid w:val="00732DA8"/>
    <w:pPr>
      <w:spacing w:after="200"/>
    </w:pPr>
    <w:rPr>
      <w:b/>
      <w:bCs/>
      <w:color w:val="4F81BD" w:themeColor="accent1"/>
      <w:sz w:val="18"/>
      <w:szCs w:val="18"/>
    </w:rPr>
  </w:style>
  <w:style w:type="paragraph" w:styleId="NormalWeb">
    <w:name w:val="Normal (Web)"/>
    <w:basedOn w:val="Normal"/>
    <w:uiPriority w:val="99"/>
    <w:unhideWhenUsed/>
    <w:rsid w:val="00071B1D"/>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2A3DE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454B5"/>
    <w:pPr>
      <w:tabs>
        <w:tab w:val="center" w:pos="4320"/>
        <w:tab w:val="right" w:pos="8640"/>
      </w:tabs>
    </w:pPr>
  </w:style>
  <w:style w:type="character" w:customStyle="1" w:styleId="FooterChar">
    <w:name w:val="Footer Char"/>
    <w:basedOn w:val="DefaultParagraphFont"/>
    <w:link w:val="Footer"/>
    <w:uiPriority w:val="99"/>
    <w:rsid w:val="009454B5"/>
    <w:rPr>
      <w:sz w:val="24"/>
      <w:szCs w:val="24"/>
    </w:rPr>
  </w:style>
  <w:style w:type="character" w:styleId="PageNumber">
    <w:name w:val="page number"/>
    <w:basedOn w:val="DefaultParagraphFont"/>
    <w:uiPriority w:val="99"/>
    <w:semiHidden/>
    <w:unhideWhenUsed/>
    <w:rsid w:val="009454B5"/>
  </w:style>
  <w:style w:type="character" w:customStyle="1" w:styleId="apple-tab-span">
    <w:name w:val="apple-tab-span"/>
    <w:basedOn w:val="DefaultParagraphFont"/>
    <w:rsid w:val="00F451C2"/>
  </w:style>
  <w:style w:type="character" w:customStyle="1" w:styleId="Heading4Char">
    <w:name w:val="Heading 4 Char"/>
    <w:basedOn w:val="DefaultParagraphFont"/>
    <w:link w:val="Heading4"/>
    <w:uiPriority w:val="9"/>
    <w:rsid w:val="00CD3568"/>
    <w:rPr>
      <w:rFonts w:asciiTheme="majorHAnsi" w:eastAsiaTheme="majorEastAsia" w:hAnsiTheme="majorHAnsi" w:cstheme="majorBidi"/>
      <w:bCs/>
      <w:iCs/>
      <w:sz w:val="24"/>
      <w:szCs w:val="24"/>
      <w:u w:val="single"/>
    </w:rPr>
  </w:style>
  <w:style w:type="character" w:styleId="Hyperlink">
    <w:name w:val="Hyperlink"/>
    <w:basedOn w:val="DefaultParagraphFont"/>
    <w:uiPriority w:val="99"/>
    <w:unhideWhenUsed/>
    <w:rsid w:val="00EB59F7"/>
    <w:rPr>
      <w:color w:val="0000FF" w:themeColor="hyperlink"/>
      <w:u w:val="single"/>
    </w:rPr>
  </w:style>
  <w:style w:type="paragraph" w:styleId="CommentText">
    <w:name w:val="annotation text"/>
    <w:basedOn w:val="Normal"/>
    <w:link w:val="CommentTextChar"/>
    <w:uiPriority w:val="99"/>
    <w:semiHidden/>
    <w:unhideWhenUsed/>
    <w:rsid w:val="00264A18"/>
  </w:style>
  <w:style w:type="character" w:customStyle="1" w:styleId="CommentTextChar">
    <w:name w:val="Comment Text Char"/>
    <w:basedOn w:val="DefaultParagraphFont"/>
    <w:link w:val="CommentText"/>
    <w:uiPriority w:val="99"/>
    <w:semiHidden/>
    <w:rsid w:val="00264A18"/>
    <w:rPr>
      <w:sz w:val="24"/>
      <w:szCs w:val="24"/>
    </w:rPr>
  </w:style>
  <w:style w:type="character" w:styleId="CommentReference">
    <w:name w:val="annotation reference"/>
    <w:basedOn w:val="DefaultParagraphFont"/>
    <w:uiPriority w:val="99"/>
    <w:semiHidden/>
    <w:unhideWhenUsed/>
    <w:rsid w:val="00264A18"/>
    <w:rPr>
      <w:sz w:val="18"/>
      <w:szCs w:val="18"/>
    </w:rPr>
  </w:style>
  <w:style w:type="paragraph" w:styleId="CommentSubject">
    <w:name w:val="annotation subject"/>
    <w:basedOn w:val="CommentText"/>
    <w:next w:val="CommentText"/>
    <w:link w:val="CommentSubjectChar"/>
    <w:uiPriority w:val="99"/>
    <w:semiHidden/>
    <w:unhideWhenUsed/>
    <w:rsid w:val="005C024F"/>
    <w:rPr>
      <w:b/>
      <w:bCs/>
      <w:sz w:val="20"/>
      <w:szCs w:val="20"/>
    </w:rPr>
  </w:style>
  <w:style w:type="character" w:customStyle="1" w:styleId="CommentSubjectChar">
    <w:name w:val="Comment Subject Char"/>
    <w:basedOn w:val="CommentTextChar"/>
    <w:link w:val="CommentSubject"/>
    <w:uiPriority w:val="99"/>
    <w:semiHidden/>
    <w:rsid w:val="005C024F"/>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paragraph" w:styleId="Heading1">
    <w:name w:val="heading 1"/>
    <w:basedOn w:val="Normal"/>
    <w:next w:val="Normal"/>
    <w:link w:val="Heading1Char"/>
    <w:uiPriority w:val="9"/>
    <w:qFormat/>
    <w:rsid w:val="00C02D9B"/>
    <w:pPr>
      <w:keepNext/>
      <w:keepLines/>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C02D9B"/>
    <w:pPr>
      <w:keepNext/>
      <w:keepLines/>
      <w:spacing w:before="200"/>
      <w:outlineLvl w:val="1"/>
    </w:pPr>
    <w:rPr>
      <w:rFonts w:ascii="Times" w:eastAsiaTheme="majorEastAsia" w:hAnsi="Times" w:cstheme="majorBidi"/>
      <w:b/>
      <w:bCs/>
      <w:i/>
      <w:sz w:val="26"/>
      <w:szCs w:val="26"/>
    </w:rPr>
  </w:style>
  <w:style w:type="paragraph" w:styleId="Heading3">
    <w:name w:val="heading 3"/>
    <w:basedOn w:val="Normal"/>
    <w:next w:val="Normal"/>
    <w:link w:val="Heading3Char"/>
    <w:uiPriority w:val="9"/>
    <w:unhideWhenUsed/>
    <w:qFormat/>
    <w:rsid w:val="00C02D9B"/>
    <w:pPr>
      <w:keepNext/>
      <w:keepLines/>
      <w:spacing w:before="200"/>
      <w:outlineLvl w:val="2"/>
    </w:pPr>
    <w:rPr>
      <w:rFonts w:ascii="Times" w:eastAsiaTheme="majorEastAsia" w:hAnsi="Times" w:cstheme="majorBidi"/>
      <w:bCs/>
      <w:i/>
    </w:rPr>
  </w:style>
  <w:style w:type="paragraph" w:styleId="Heading4">
    <w:name w:val="heading 4"/>
    <w:basedOn w:val="Normal"/>
    <w:next w:val="Normal"/>
    <w:link w:val="Heading4Char"/>
    <w:uiPriority w:val="9"/>
    <w:unhideWhenUsed/>
    <w:qFormat/>
    <w:rsid w:val="00CD3568"/>
    <w:pPr>
      <w:keepNext/>
      <w:keepLines/>
      <w:spacing w:before="200"/>
      <w:outlineLvl w:val="3"/>
    </w:pPr>
    <w:rPr>
      <w:rFonts w:asciiTheme="majorHAnsi" w:eastAsiaTheme="majorEastAsia" w:hAnsiTheme="majorHAnsi" w:cstheme="majorBidi"/>
      <w:bCs/>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D9B"/>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C02D9B"/>
    <w:rPr>
      <w:rFonts w:ascii="Times" w:eastAsiaTheme="majorEastAsia" w:hAnsi="Times" w:cstheme="majorBidi"/>
      <w:b/>
      <w:bCs/>
      <w:i/>
      <w:sz w:val="26"/>
      <w:szCs w:val="26"/>
    </w:rPr>
  </w:style>
  <w:style w:type="character" w:customStyle="1" w:styleId="Heading3Char">
    <w:name w:val="Heading 3 Char"/>
    <w:basedOn w:val="DefaultParagraphFont"/>
    <w:link w:val="Heading3"/>
    <w:uiPriority w:val="9"/>
    <w:rsid w:val="00C02D9B"/>
    <w:rPr>
      <w:rFonts w:ascii="Times" w:eastAsiaTheme="majorEastAsia" w:hAnsi="Times" w:cstheme="majorBidi"/>
      <w:bCs/>
      <w:i/>
      <w:sz w:val="24"/>
      <w:szCs w:val="24"/>
    </w:rPr>
  </w:style>
  <w:style w:type="paragraph" w:styleId="TOC1">
    <w:name w:val="toc 1"/>
    <w:basedOn w:val="Normal"/>
    <w:next w:val="Normal"/>
    <w:autoRedefine/>
    <w:uiPriority w:val="39"/>
    <w:unhideWhenUsed/>
    <w:rsid w:val="00C02D9B"/>
  </w:style>
  <w:style w:type="paragraph" w:styleId="TOC2">
    <w:name w:val="toc 2"/>
    <w:basedOn w:val="Normal"/>
    <w:next w:val="Normal"/>
    <w:autoRedefine/>
    <w:uiPriority w:val="39"/>
    <w:unhideWhenUsed/>
    <w:rsid w:val="00C02D9B"/>
    <w:pPr>
      <w:ind w:left="240"/>
    </w:pPr>
  </w:style>
  <w:style w:type="paragraph" w:styleId="TOC3">
    <w:name w:val="toc 3"/>
    <w:basedOn w:val="Normal"/>
    <w:next w:val="Normal"/>
    <w:autoRedefine/>
    <w:uiPriority w:val="39"/>
    <w:unhideWhenUsed/>
    <w:rsid w:val="009454B5"/>
    <w:pPr>
      <w:tabs>
        <w:tab w:val="right" w:leader="dot" w:pos="8630"/>
      </w:tabs>
      <w:ind w:left="480"/>
    </w:pPr>
  </w:style>
  <w:style w:type="paragraph" w:styleId="TOC4">
    <w:name w:val="toc 4"/>
    <w:basedOn w:val="Normal"/>
    <w:next w:val="Normal"/>
    <w:autoRedefine/>
    <w:uiPriority w:val="39"/>
    <w:unhideWhenUsed/>
    <w:rsid w:val="00C02D9B"/>
    <w:pPr>
      <w:ind w:left="720"/>
    </w:pPr>
  </w:style>
  <w:style w:type="paragraph" w:styleId="TOC5">
    <w:name w:val="toc 5"/>
    <w:basedOn w:val="Normal"/>
    <w:next w:val="Normal"/>
    <w:autoRedefine/>
    <w:uiPriority w:val="39"/>
    <w:unhideWhenUsed/>
    <w:rsid w:val="00C02D9B"/>
    <w:pPr>
      <w:ind w:left="960"/>
    </w:pPr>
  </w:style>
  <w:style w:type="paragraph" w:styleId="TOC6">
    <w:name w:val="toc 6"/>
    <w:basedOn w:val="Normal"/>
    <w:next w:val="Normal"/>
    <w:autoRedefine/>
    <w:uiPriority w:val="39"/>
    <w:unhideWhenUsed/>
    <w:rsid w:val="00C02D9B"/>
    <w:pPr>
      <w:ind w:left="1200"/>
    </w:pPr>
  </w:style>
  <w:style w:type="paragraph" w:styleId="TOC7">
    <w:name w:val="toc 7"/>
    <w:basedOn w:val="Normal"/>
    <w:next w:val="Normal"/>
    <w:autoRedefine/>
    <w:uiPriority w:val="39"/>
    <w:unhideWhenUsed/>
    <w:rsid w:val="00C02D9B"/>
    <w:pPr>
      <w:ind w:left="1440"/>
    </w:pPr>
  </w:style>
  <w:style w:type="paragraph" w:styleId="TOC8">
    <w:name w:val="toc 8"/>
    <w:basedOn w:val="Normal"/>
    <w:next w:val="Normal"/>
    <w:autoRedefine/>
    <w:uiPriority w:val="39"/>
    <w:unhideWhenUsed/>
    <w:rsid w:val="00C02D9B"/>
    <w:pPr>
      <w:ind w:left="1680"/>
    </w:pPr>
  </w:style>
  <w:style w:type="paragraph" w:styleId="TOC9">
    <w:name w:val="toc 9"/>
    <w:basedOn w:val="Normal"/>
    <w:next w:val="Normal"/>
    <w:autoRedefine/>
    <w:uiPriority w:val="39"/>
    <w:unhideWhenUsed/>
    <w:rsid w:val="00C02D9B"/>
    <w:pPr>
      <w:ind w:left="1920"/>
    </w:pPr>
  </w:style>
  <w:style w:type="paragraph" w:styleId="BalloonText">
    <w:name w:val="Balloon Text"/>
    <w:basedOn w:val="Normal"/>
    <w:link w:val="BalloonTextChar"/>
    <w:uiPriority w:val="99"/>
    <w:semiHidden/>
    <w:unhideWhenUsed/>
    <w:rsid w:val="0059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47D"/>
    <w:rPr>
      <w:rFonts w:ascii="Lucida Grande" w:hAnsi="Lucida Grande" w:cs="Lucida Grande"/>
      <w:sz w:val="18"/>
      <w:szCs w:val="18"/>
    </w:rPr>
  </w:style>
  <w:style w:type="paragraph" w:customStyle="1" w:styleId="Default">
    <w:name w:val="Default"/>
    <w:rsid w:val="00722A74"/>
    <w:pPr>
      <w:widowControl w:val="0"/>
      <w:autoSpaceDE w:val="0"/>
      <w:autoSpaceDN w:val="0"/>
      <w:adjustRightInd w:val="0"/>
    </w:pPr>
    <w:rPr>
      <w:rFonts w:ascii="Myriad Pro Light" w:hAnsi="Myriad Pro Light" w:cs="Myriad Pro Light"/>
      <w:color w:val="000000"/>
      <w:sz w:val="24"/>
      <w:szCs w:val="24"/>
    </w:rPr>
  </w:style>
  <w:style w:type="paragraph" w:customStyle="1" w:styleId="Pa16">
    <w:name w:val="Pa16"/>
    <w:basedOn w:val="Default"/>
    <w:next w:val="Default"/>
    <w:uiPriority w:val="99"/>
    <w:rsid w:val="00326AC2"/>
    <w:pPr>
      <w:spacing w:line="181" w:lineRule="atLeast"/>
    </w:pPr>
    <w:rPr>
      <w:rFonts w:ascii="Sabon" w:hAnsi="Sabon" w:cs="Times New Roman"/>
      <w:color w:val="auto"/>
    </w:rPr>
  </w:style>
  <w:style w:type="character" w:customStyle="1" w:styleId="A9">
    <w:name w:val="A9"/>
    <w:uiPriority w:val="99"/>
    <w:rsid w:val="00326AC2"/>
    <w:rPr>
      <w:rFonts w:cs="Sabon"/>
      <w:color w:val="000000"/>
      <w:sz w:val="11"/>
      <w:szCs w:val="11"/>
    </w:rPr>
  </w:style>
  <w:style w:type="character" w:customStyle="1" w:styleId="A10">
    <w:name w:val="A10"/>
    <w:uiPriority w:val="99"/>
    <w:rsid w:val="00326AC2"/>
    <w:rPr>
      <w:rFonts w:cs="Sabon"/>
      <w:color w:val="000000"/>
      <w:sz w:val="11"/>
      <w:szCs w:val="11"/>
    </w:rPr>
  </w:style>
  <w:style w:type="paragraph" w:customStyle="1" w:styleId="Pa13">
    <w:name w:val="Pa13"/>
    <w:basedOn w:val="Default"/>
    <w:next w:val="Default"/>
    <w:uiPriority w:val="99"/>
    <w:rsid w:val="00326AC2"/>
    <w:pPr>
      <w:spacing w:line="181" w:lineRule="atLeast"/>
    </w:pPr>
    <w:rPr>
      <w:rFonts w:ascii="Sabon" w:hAnsi="Sabon" w:cs="Times New Roman"/>
      <w:color w:val="auto"/>
    </w:rPr>
  </w:style>
  <w:style w:type="paragraph" w:customStyle="1" w:styleId="normal0">
    <w:name w:val="normal"/>
    <w:rsid w:val="00732DA8"/>
    <w:pPr>
      <w:spacing w:line="276" w:lineRule="auto"/>
    </w:pPr>
    <w:rPr>
      <w:rFonts w:ascii="Arial" w:eastAsia="Arial" w:hAnsi="Arial" w:cs="Arial"/>
      <w:color w:val="000000"/>
      <w:sz w:val="22"/>
      <w:szCs w:val="24"/>
    </w:rPr>
  </w:style>
  <w:style w:type="paragraph" w:styleId="Caption">
    <w:name w:val="caption"/>
    <w:basedOn w:val="Normal"/>
    <w:next w:val="Normal"/>
    <w:uiPriority w:val="35"/>
    <w:unhideWhenUsed/>
    <w:qFormat/>
    <w:rsid w:val="00732DA8"/>
    <w:pPr>
      <w:spacing w:after="200"/>
    </w:pPr>
    <w:rPr>
      <w:b/>
      <w:bCs/>
      <w:color w:val="4F81BD" w:themeColor="accent1"/>
      <w:sz w:val="18"/>
      <w:szCs w:val="18"/>
    </w:rPr>
  </w:style>
  <w:style w:type="paragraph" w:styleId="NormalWeb">
    <w:name w:val="Normal (Web)"/>
    <w:basedOn w:val="Normal"/>
    <w:uiPriority w:val="99"/>
    <w:unhideWhenUsed/>
    <w:rsid w:val="00071B1D"/>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2A3DE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454B5"/>
    <w:pPr>
      <w:tabs>
        <w:tab w:val="center" w:pos="4320"/>
        <w:tab w:val="right" w:pos="8640"/>
      </w:tabs>
    </w:pPr>
  </w:style>
  <w:style w:type="character" w:customStyle="1" w:styleId="FooterChar">
    <w:name w:val="Footer Char"/>
    <w:basedOn w:val="DefaultParagraphFont"/>
    <w:link w:val="Footer"/>
    <w:uiPriority w:val="99"/>
    <w:rsid w:val="009454B5"/>
    <w:rPr>
      <w:sz w:val="24"/>
      <w:szCs w:val="24"/>
    </w:rPr>
  </w:style>
  <w:style w:type="character" w:styleId="PageNumber">
    <w:name w:val="page number"/>
    <w:basedOn w:val="DefaultParagraphFont"/>
    <w:uiPriority w:val="99"/>
    <w:semiHidden/>
    <w:unhideWhenUsed/>
    <w:rsid w:val="009454B5"/>
  </w:style>
  <w:style w:type="character" w:customStyle="1" w:styleId="apple-tab-span">
    <w:name w:val="apple-tab-span"/>
    <w:basedOn w:val="DefaultParagraphFont"/>
    <w:rsid w:val="00F451C2"/>
  </w:style>
  <w:style w:type="character" w:customStyle="1" w:styleId="Heading4Char">
    <w:name w:val="Heading 4 Char"/>
    <w:basedOn w:val="DefaultParagraphFont"/>
    <w:link w:val="Heading4"/>
    <w:uiPriority w:val="9"/>
    <w:rsid w:val="00CD3568"/>
    <w:rPr>
      <w:rFonts w:asciiTheme="majorHAnsi" w:eastAsiaTheme="majorEastAsia" w:hAnsiTheme="majorHAnsi" w:cstheme="majorBidi"/>
      <w:bCs/>
      <w:iCs/>
      <w:sz w:val="24"/>
      <w:szCs w:val="24"/>
      <w:u w:val="single"/>
    </w:rPr>
  </w:style>
  <w:style w:type="character" w:styleId="Hyperlink">
    <w:name w:val="Hyperlink"/>
    <w:basedOn w:val="DefaultParagraphFont"/>
    <w:uiPriority w:val="99"/>
    <w:unhideWhenUsed/>
    <w:rsid w:val="00EB59F7"/>
    <w:rPr>
      <w:color w:val="0000FF" w:themeColor="hyperlink"/>
      <w:u w:val="single"/>
    </w:rPr>
  </w:style>
  <w:style w:type="paragraph" w:styleId="CommentText">
    <w:name w:val="annotation text"/>
    <w:basedOn w:val="Normal"/>
    <w:link w:val="CommentTextChar"/>
    <w:uiPriority w:val="99"/>
    <w:semiHidden/>
    <w:unhideWhenUsed/>
    <w:rsid w:val="00264A18"/>
  </w:style>
  <w:style w:type="character" w:customStyle="1" w:styleId="CommentTextChar">
    <w:name w:val="Comment Text Char"/>
    <w:basedOn w:val="DefaultParagraphFont"/>
    <w:link w:val="CommentText"/>
    <w:uiPriority w:val="99"/>
    <w:semiHidden/>
    <w:rsid w:val="00264A18"/>
    <w:rPr>
      <w:sz w:val="24"/>
      <w:szCs w:val="24"/>
    </w:rPr>
  </w:style>
  <w:style w:type="character" w:styleId="CommentReference">
    <w:name w:val="annotation reference"/>
    <w:basedOn w:val="DefaultParagraphFont"/>
    <w:uiPriority w:val="99"/>
    <w:semiHidden/>
    <w:unhideWhenUsed/>
    <w:rsid w:val="00264A18"/>
    <w:rPr>
      <w:sz w:val="18"/>
      <w:szCs w:val="18"/>
    </w:rPr>
  </w:style>
  <w:style w:type="paragraph" w:styleId="CommentSubject">
    <w:name w:val="annotation subject"/>
    <w:basedOn w:val="CommentText"/>
    <w:next w:val="CommentText"/>
    <w:link w:val="CommentSubjectChar"/>
    <w:uiPriority w:val="99"/>
    <w:semiHidden/>
    <w:unhideWhenUsed/>
    <w:rsid w:val="005C024F"/>
    <w:rPr>
      <w:b/>
      <w:bCs/>
      <w:sz w:val="20"/>
      <w:szCs w:val="20"/>
    </w:rPr>
  </w:style>
  <w:style w:type="character" w:customStyle="1" w:styleId="CommentSubjectChar">
    <w:name w:val="Comment Subject Char"/>
    <w:basedOn w:val="CommentTextChar"/>
    <w:link w:val="CommentSubject"/>
    <w:uiPriority w:val="99"/>
    <w:semiHidden/>
    <w:rsid w:val="005C024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25322">
      <w:bodyDiv w:val="1"/>
      <w:marLeft w:val="0"/>
      <w:marRight w:val="0"/>
      <w:marTop w:val="0"/>
      <w:marBottom w:val="0"/>
      <w:divBdr>
        <w:top w:val="none" w:sz="0" w:space="0" w:color="auto"/>
        <w:left w:val="none" w:sz="0" w:space="0" w:color="auto"/>
        <w:bottom w:val="none" w:sz="0" w:space="0" w:color="auto"/>
        <w:right w:val="none" w:sz="0" w:space="0" w:color="auto"/>
      </w:divBdr>
    </w:div>
    <w:div w:id="102040874">
      <w:bodyDiv w:val="1"/>
      <w:marLeft w:val="0"/>
      <w:marRight w:val="0"/>
      <w:marTop w:val="0"/>
      <w:marBottom w:val="0"/>
      <w:divBdr>
        <w:top w:val="none" w:sz="0" w:space="0" w:color="auto"/>
        <w:left w:val="none" w:sz="0" w:space="0" w:color="auto"/>
        <w:bottom w:val="none" w:sz="0" w:space="0" w:color="auto"/>
        <w:right w:val="none" w:sz="0" w:space="0" w:color="auto"/>
      </w:divBdr>
    </w:div>
    <w:div w:id="159471683">
      <w:bodyDiv w:val="1"/>
      <w:marLeft w:val="0"/>
      <w:marRight w:val="0"/>
      <w:marTop w:val="0"/>
      <w:marBottom w:val="0"/>
      <w:divBdr>
        <w:top w:val="none" w:sz="0" w:space="0" w:color="auto"/>
        <w:left w:val="none" w:sz="0" w:space="0" w:color="auto"/>
        <w:bottom w:val="none" w:sz="0" w:space="0" w:color="auto"/>
        <w:right w:val="none" w:sz="0" w:space="0" w:color="auto"/>
      </w:divBdr>
    </w:div>
    <w:div w:id="270555322">
      <w:bodyDiv w:val="1"/>
      <w:marLeft w:val="0"/>
      <w:marRight w:val="0"/>
      <w:marTop w:val="0"/>
      <w:marBottom w:val="0"/>
      <w:divBdr>
        <w:top w:val="none" w:sz="0" w:space="0" w:color="auto"/>
        <w:left w:val="none" w:sz="0" w:space="0" w:color="auto"/>
        <w:bottom w:val="none" w:sz="0" w:space="0" w:color="auto"/>
        <w:right w:val="none" w:sz="0" w:space="0" w:color="auto"/>
      </w:divBdr>
    </w:div>
    <w:div w:id="412312347">
      <w:bodyDiv w:val="1"/>
      <w:marLeft w:val="0"/>
      <w:marRight w:val="0"/>
      <w:marTop w:val="0"/>
      <w:marBottom w:val="0"/>
      <w:divBdr>
        <w:top w:val="none" w:sz="0" w:space="0" w:color="auto"/>
        <w:left w:val="none" w:sz="0" w:space="0" w:color="auto"/>
        <w:bottom w:val="none" w:sz="0" w:space="0" w:color="auto"/>
        <w:right w:val="none" w:sz="0" w:space="0" w:color="auto"/>
      </w:divBdr>
    </w:div>
    <w:div w:id="766584031">
      <w:bodyDiv w:val="1"/>
      <w:marLeft w:val="0"/>
      <w:marRight w:val="0"/>
      <w:marTop w:val="0"/>
      <w:marBottom w:val="0"/>
      <w:divBdr>
        <w:top w:val="none" w:sz="0" w:space="0" w:color="auto"/>
        <w:left w:val="none" w:sz="0" w:space="0" w:color="auto"/>
        <w:bottom w:val="none" w:sz="0" w:space="0" w:color="auto"/>
        <w:right w:val="none" w:sz="0" w:space="0" w:color="auto"/>
      </w:divBdr>
    </w:div>
    <w:div w:id="1651253436">
      <w:bodyDiv w:val="1"/>
      <w:marLeft w:val="0"/>
      <w:marRight w:val="0"/>
      <w:marTop w:val="0"/>
      <w:marBottom w:val="0"/>
      <w:divBdr>
        <w:top w:val="none" w:sz="0" w:space="0" w:color="auto"/>
        <w:left w:val="none" w:sz="0" w:space="0" w:color="auto"/>
        <w:bottom w:val="none" w:sz="0" w:space="0" w:color="auto"/>
        <w:right w:val="none" w:sz="0" w:space="0" w:color="auto"/>
      </w:divBdr>
    </w:div>
    <w:div w:id="1755979149">
      <w:bodyDiv w:val="1"/>
      <w:marLeft w:val="0"/>
      <w:marRight w:val="0"/>
      <w:marTop w:val="0"/>
      <w:marBottom w:val="0"/>
      <w:divBdr>
        <w:top w:val="none" w:sz="0" w:space="0" w:color="auto"/>
        <w:left w:val="none" w:sz="0" w:space="0" w:color="auto"/>
        <w:bottom w:val="none" w:sz="0" w:space="0" w:color="auto"/>
        <w:right w:val="none" w:sz="0" w:space="0" w:color="auto"/>
      </w:divBdr>
    </w:div>
    <w:div w:id="1995405669">
      <w:bodyDiv w:val="1"/>
      <w:marLeft w:val="0"/>
      <w:marRight w:val="0"/>
      <w:marTop w:val="0"/>
      <w:marBottom w:val="0"/>
      <w:divBdr>
        <w:top w:val="none" w:sz="0" w:space="0" w:color="auto"/>
        <w:left w:val="none" w:sz="0" w:space="0" w:color="auto"/>
        <w:bottom w:val="none" w:sz="0" w:space="0" w:color="auto"/>
        <w:right w:val="none" w:sz="0" w:space="0" w:color="auto"/>
      </w:divBdr>
    </w:div>
    <w:div w:id="20957409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4.jpg"/><Relationship Id="rId21" Type="http://schemas.openxmlformats.org/officeDocument/2006/relationships/hyperlink" Target="http://conphys.oxfordjournals.org/content/1/1/cot009/suppl/DC1" TargetMode="External"/><Relationship Id="rId22" Type="http://schemas.openxmlformats.org/officeDocument/2006/relationships/hyperlink" Target="http://bioinfogp.cnb.csic.es/tools/venny/index.html" TargetMode="External"/><Relationship Id="rId23" Type="http://schemas.openxmlformats.org/officeDocument/2006/relationships/hyperlink" Target="http://bioinfogp.cnb.csic.es/tools/venny/index.html" TargetMode="External"/><Relationship Id="rId24" Type="http://schemas.openxmlformats.org/officeDocument/2006/relationships/hyperlink" Target="http://www.r-project.org" TargetMode="External"/><Relationship Id="rId25" Type="http://schemas.openxmlformats.org/officeDocument/2006/relationships/hyperlink" Target="http://www.r-project.org" TargetMode="External"/><Relationship Id="rId26" Type="http://schemas.openxmlformats.org/officeDocument/2006/relationships/hyperlink" Target="http://uniprot.org" TargetMode="External"/><Relationship Id="rId27" Type="http://schemas.openxmlformats.org/officeDocument/2006/relationships/hyperlink" Target="http://david.abcc.ncifcrf.gov/" TargetMode="External"/><Relationship Id="rId28" Type="http://schemas.openxmlformats.org/officeDocument/2006/relationships/image" Target="media/image15.jpg"/><Relationship Id="rId29" Type="http://schemas.openxmlformats.org/officeDocument/2006/relationships/image" Target="media/image16.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7.jpg"/><Relationship Id="rId31" Type="http://schemas.openxmlformats.org/officeDocument/2006/relationships/image" Target="media/image18.jpg"/><Relationship Id="rId32" Type="http://schemas.openxmlformats.org/officeDocument/2006/relationships/image" Target="media/image19.jpg"/><Relationship Id="rId9" Type="http://schemas.openxmlformats.org/officeDocument/2006/relationships/image" Target="media/image3.jpg"/><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33" Type="http://schemas.openxmlformats.org/officeDocument/2006/relationships/image" Target="media/image20.jpg"/><Relationship Id="rId34" Type="http://schemas.openxmlformats.org/officeDocument/2006/relationships/image" Target="media/image21.jpg"/><Relationship Id="rId35" Type="http://schemas.openxmlformats.org/officeDocument/2006/relationships/hyperlink" Target="http://dx.doi.org/10.6084/m9.figshare.8999008" TargetMode="External"/><Relationship Id="rId36" Type="http://schemas.openxmlformats.org/officeDocument/2006/relationships/hyperlink" Target="http://dx.doi.org/10.6084/m9.figshare.958951" TargetMode="Externa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jpg"/><Relationship Id="rId18" Type="http://schemas.openxmlformats.org/officeDocument/2006/relationships/image" Target="media/image12.png"/><Relationship Id="rId19" Type="http://schemas.openxmlformats.org/officeDocument/2006/relationships/image" Target="media/image13.jpg"/><Relationship Id="rId37" Type="http://schemas.openxmlformats.org/officeDocument/2006/relationships/image" Target="media/image22.jpg"/><Relationship Id="rId38" Type="http://schemas.openxmlformats.org/officeDocument/2006/relationships/image" Target="media/image23.jpg"/><Relationship Id="rId39" Type="http://schemas.openxmlformats.org/officeDocument/2006/relationships/image" Target="media/image24.jpg"/><Relationship Id="rId40" Type="http://schemas.openxmlformats.org/officeDocument/2006/relationships/image" Target="media/image25.jpg"/><Relationship Id="rId41" Type="http://schemas.openxmlformats.org/officeDocument/2006/relationships/image" Target="media/image26.emf"/><Relationship Id="rId42" Type="http://schemas.openxmlformats.org/officeDocument/2006/relationships/image" Target="media/image27.jpg"/><Relationship Id="rId43" Type="http://schemas.openxmlformats.org/officeDocument/2006/relationships/image" Target="media/image28.jpg"/><Relationship Id="rId44" Type="http://schemas.openxmlformats.org/officeDocument/2006/relationships/footer" Target="footer1.xm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138</Pages>
  <Words>105351</Words>
  <Characters>600502</Characters>
  <Application>Microsoft Macintosh Word</Application>
  <DocSecurity>0</DocSecurity>
  <Lines>5004</Lines>
  <Paragraphs>1408</Paragraphs>
  <ScaleCrop>false</ScaleCrop>
  <Company>University of Washington</Company>
  <LinksUpToDate>false</LinksUpToDate>
  <CharactersWithSpaces>704445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Timmins-Schiffman</dc:creator>
  <cp:keywords/>
  <dc:description/>
  <cp:lastModifiedBy>Emma Timmins-Schiffman</cp:lastModifiedBy>
  <cp:revision>4</cp:revision>
  <cp:lastPrinted>2014-03-19T21:41:00Z</cp:lastPrinted>
  <dcterms:created xsi:type="dcterms:W3CDTF">2014-03-19T21:41:00Z</dcterms:created>
  <dcterms:modified xsi:type="dcterms:W3CDTF">2014-03-24T18:13:00Z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emsie25@gmail.com@www.mendeley.com</vt:lpwstr>
  </property>
</Properties>
</file>